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F55D"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7F8BFEA" w14:textId="77777777" w:rsidTr="005F7F7E">
        <w:tc>
          <w:tcPr>
            <w:tcW w:w="2438" w:type="dxa"/>
            <w:shd w:val="clear" w:color="auto" w:fill="auto"/>
          </w:tcPr>
          <w:p w14:paraId="7A12E3C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1BA0258" w14:textId="77777777" w:rsidR="00F445B1" w:rsidRPr="00F95BC9" w:rsidRDefault="0094040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14:paraId="131F7C1A" w14:textId="77777777" w:rsidTr="005F7F7E">
        <w:tc>
          <w:tcPr>
            <w:tcW w:w="2438" w:type="dxa"/>
            <w:shd w:val="clear" w:color="auto" w:fill="auto"/>
          </w:tcPr>
          <w:p w14:paraId="3CE7349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CD99B17" w14:textId="746690DF" w:rsidR="00F445B1" w:rsidRPr="001356F1" w:rsidRDefault="00F039CB" w:rsidP="00F039CB">
            <w:pPr>
              <w:rPr>
                <w:b/>
              </w:rPr>
            </w:pPr>
            <w:r w:rsidRPr="00862D81">
              <w:rPr>
                <w:rStyle w:val="Firstpagetablebold"/>
              </w:rPr>
              <w:t xml:space="preserve">Monday </w:t>
            </w:r>
            <w:r w:rsidR="00BC70FA">
              <w:rPr>
                <w:rStyle w:val="Firstpagetablebold"/>
              </w:rPr>
              <w:t>20 May</w:t>
            </w:r>
            <w:r w:rsidR="00386D12" w:rsidRPr="00862D81">
              <w:rPr>
                <w:rStyle w:val="Firstpagetablebold"/>
              </w:rPr>
              <w:t xml:space="preserve"> </w:t>
            </w:r>
            <w:r w:rsidR="00940400" w:rsidRPr="00862D81">
              <w:rPr>
                <w:rStyle w:val="Firstpagetablebold"/>
              </w:rPr>
              <w:t>20</w:t>
            </w:r>
            <w:r w:rsidR="00D73BBE" w:rsidRPr="00862D81">
              <w:rPr>
                <w:rStyle w:val="Firstpagetablebold"/>
              </w:rPr>
              <w:t>2</w:t>
            </w:r>
            <w:r w:rsidR="00BC70FA">
              <w:rPr>
                <w:rStyle w:val="Firstpagetablebold"/>
              </w:rPr>
              <w:t>4</w:t>
            </w:r>
          </w:p>
        </w:tc>
      </w:tr>
      <w:tr w:rsidR="00CE544A" w:rsidRPr="00975B07" w14:paraId="508A4F6E" w14:textId="77777777" w:rsidTr="005F7F7E">
        <w:tc>
          <w:tcPr>
            <w:tcW w:w="2438" w:type="dxa"/>
            <w:shd w:val="clear" w:color="auto" w:fill="auto"/>
          </w:tcPr>
          <w:p w14:paraId="39E8B48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F61A882" w14:textId="1492A0ED" w:rsidR="00F445B1" w:rsidRPr="001356F1" w:rsidRDefault="00940400" w:rsidP="00D73BBE">
            <w:pPr>
              <w:rPr>
                <w:rStyle w:val="Firstpagetablebold"/>
              </w:rPr>
            </w:pPr>
            <w:r>
              <w:rPr>
                <w:rStyle w:val="Firstpagetablebold"/>
              </w:rPr>
              <w:t xml:space="preserve">Head of </w:t>
            </w:r>
            <w:r w:rsidR="00F62B7C">
              <w:rPr>
                <w:rStyle w:val="Firstpagetablebold"/>
              </w:rPr>
              <w:t xml:space="preserve">Planning and </w:t>
            </w:r>
            <w:r w:rsidR="00D73BBE">
              <w:rPr>
                <w:rStyle w:val="Firstpagetablebold"/>
              </w:rPr>
              <w:t xml:space="preserve">Regulatory Services </w:t>
            </w:r>
          </w:p>
        </w:tc>
      </w:tr>
      <w:tr w:rsidR="00CE544A" w:rsidRPr="00975B07" w14:paraId="2A585008" w14:textId="77777777" w:rsidTr="005F7F7E">
        <w:tc>
          <w:tcPr>
            <w:tcW w:w="2438" w:type="dxa"/>
            <w:shd w:val="clear" w:color="auto" w:fill="auto"/>
          </w:tcPr>
          <w:p w14:paraId="6515FE6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7CCE420" w14:textId="73DFBA74" w:rsidR="00F445B1" w:rsidRPr="00D32A2D" w:rsidRDefault="00D32A2D" w:rsidP="00D32A2D">
            <w:pPr>
              <w:rPr>
                <w:rStyle w:val="Firstpagetablebold"/>
                <w:bCs/>
              </w:rPr>
            </w:pPr>
            <w:r w:rsidRPr="00D32A2D">
              <w:rPr>
                <w:b/>
              </w:rPr>
              <w:t>Miscellaneous Licensing Update Report</w:t>
            </w:r>
          </w:p>
        </w:tc>
      </w:tr>
    </w:tbl>
    <w:p w14:paraId="1903036C" w14:textId="77777777"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5A0852CB" w14:textId="77777777" w:rsidTr="00C44BAE">
        <w:tc>
          <w:tcPr>
            <w:tcW w:w="9356" w:type="dxa"/>
            <w:gridSpan w:val="3"/>
            <w:tcBorders>
              <w:top w:val="single" w:sz="4" w:space="0" w:color="auto"/>
              <w:left w:val="single" w:sz="4" w:space="0" w:color="auto"/>
              <w:bottom w:val="single" w:sz="4" w:space="0" w:color="auto"/>
              <w:right w:val="single" w:sz="4" w:space="0" w:color="auto"/>
            </w:tcBorders>
            <w:hideMark/>
          </w:tcPr>
          <w:p w14:paraId="23A708C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65152B1" w14:textId="77777777" w:rsidTr="00C44BAE">
        <w:trPr>
          <w:trHeight w:val="809"/>
        </w:trPr>
        <w:tc>
          <w:tcPr>
            <w:tcW w:w="3261" w:type="dxa"/>
            <w:gridSpan w:val="2"/>
            <w:tcBorders>
              <w:top w:val="single" w:sz="4" w:space="0" w:color="auto"/>
              <w:left w:val="single" w:sz="4" w:space="0" w:color="auto"/>
              <w:bottom w:val="nil"/>
              <w:right w:val="nil"/>
            </w:tcBorders>
            <w:hideMark/>
          </w:tcPr>
          <w:p w14:paraId="0C5D1ECD" w14:textId="77777777" w:rsidR="00D5547E" w:rsidRDefault="00D5547E">
            <w:pPr>
              <w:rPr>
                <w:rStyle w:val="Firstpagetablebold"/>
              </w:rPr>
            </w:pPr>
            <w:r>
              <w:rPr>
                <w:rStyle w:val="Firstpagetablebold"/>
              </w:rPr>
              <w:t>Purpose of report:</w:t>
            </w:r>
          </w:p>
          <w:p w14:paraId="6B7344E9"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40277F74" w14:textId="583469B4" w:rsidR="00471319" w:rsidRPr="00940400" w:rsidRDefault="00940400" w:rsidP="00D32A2D">
            <w:r w:rsidRPr="00940400">
              <w:t xml:space="preserve">To </w:t>
            </w:r>
            <w:r w:rsidR="00D73AAA">
              <w:t xml:space="preserve">update Committee on several </w:t>
            </w:r>
            <w:r w:rsidR="00D32A2D">
              <w:t>matters within the Miscellaneous Licensing service</w:t>
            </w:r>
            <w:r w:rsidR="00F62B7C">
              <w:t>s</w:t>
            </w:r>
            <w:r w:rsidR="00D32A2D">
              <w:t xml:space="preserve"> group </w:t>
            </w:r>
            <w:r w:rsidR="00D73AAA">
              <w:t>relevant to their delegated responsibilities</w:t>
            </w:r>
            <w:r w:rsidR="00D32A2D">
              <w:t xml:space="preserve"> </w:t>
            </w:r>
            <w:r w:rsidR="000515B9">
              <w:t xml:space="preserve"> </w:t>
            </w:r>
          </w:p>
        </w:tc>
      </w:tr>
      <w:tr w:rsidR="00471319" w14:paraId="37F5CD40" w14:textId="77777777" w:rsidTr="00C44BAE">
        <w:trPr>
          <w:trHeight w:val="531"/>
        </w:trPr>
        <w:tc>
          <w:tcPr>
            <w:tcW w:w="3261" w:type="dxa"/>
            <w:gridSpan w:val="2"/>
            <w:tcBorders>
              <w:top w:val="nil"/>
              <w:left w:val="single" w:sz="4" w:space="0" w:color="auto"/>
              <w:bottom w:val="nil"/>
              <w:right w:val="nil"/>
            </w:tcBorders>
          </w:tcPr>
          <w:p w14:paraId="38DE2A11" w14:textId="77777777"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14:paraId="3E0098E1" w14:textId="77777777" w:rsidR="00D57F03" w:rsidRPr="001356F1" w:rsidRDefault="00D6640B" w:rsidP="00B225E7">
            <w:r w:rsidRPr="00D6640B">
              <w:t>Enable an inclusive economy</w:t>
            </w:r>
            <w:r>
              <w:t xml:space="preserve"> and Support Thriving Communities</w:t>
            </w:r>
            <w:r w:rsidR="00B225E7">
              <w:t xml:space="preserve"> </w:t>
            </w:r>
          </w:p>
        </w:tc>
      </w:tr>
      <w:tr w:rsidR="00D57F03" w14:paraId="2A0D2594" w14:textId="77777777" w:rsidTr="00C44BAE">
        <w:trPr>
          <w:trHeight w:val="531"/>
        </w:trPr>
        <w:tc>
          <w:tcPr>
            <w:tcW w:w="3261" w:type="dxa"/>
            <w:gridSpan w:val="2"/>
            <w:tcBorders>
              <w:top w:val="nil"/>
              <w:left w:val="single" w:sz="4" w:space="0" w:color="auto"/>
              <w:bottom w:val="nil"/>
              <w:right w:val="nil"/>
            </w:tcBorders>
          </w:tcPr>
          <w:p w14:paraId="6BCFDE19" w14:textId="77777777"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14:paraId="20885AB9" w14:textId="7A3A69E0" w:rsidR="00D57F03" w:rsidRDefault="0088400E" w:rsidP="00940400">
            <w:r>
              <w:t>Street Trading Policy</w:t>
            </w:r>
            <w:r w:rsidR="00D73AAA">
              <w:t>, Pavement Licensing regime</w:t>
            </w:r>
            <w:r w:rsidR="00F62B7C">
              <w:t>.</w:t>
            </w:r>
          </w:p>
        </w:tc>
      </w:tr>
      <w:tr w:rsidR="005F7F7E" w:rsidRPr="00975B07" w14:paraId="7AA7E537" w14:textId="77777777" w:rsidTr="00CB7549">
        <w:trPr>
          <w:trHeight w:val="413"/>
        </w:trPr>
        <w:tc>
          <w:tcPr>
            <w:tcW w:w="9356" w:type="dxa"/>
            <w:gridSpan w:val="3"/>
            <w:tcBorders>
              <w:bottom w:val="single" w:sz="8" w:space="0" w:color="000000"/>
            </w:tcBorders>
          </w:tcPr>
          <w:p w14:paraId="55676559" w14:textId="5A0E1F75" w:rsidR="005F7F7E" w:rsidRPr="00975B07" w:rsidRDefault="005F7F7E" w:rsidP="00C44BAE">
            <w:r>
              <w:rPr>
                <w:rStyle w:val="Firstpagetablebold"/>
              </w:rPr>
              <w:t>Recommendation(s</w:t>
            </w:r>
            <w:r w:rsidR="00EA31A1">
              <w:rPr>
                <w:rStyle w:val="Firstpagetablebold"/>
              </w:rPr>
              <w:t>):</w:t>
            </w:r>
            <w:r w:rsidR="00EA31A1" w:rsidRPr="008A43AA">
              <w:rPr>
                <w:rStyle w:val="Firstpagetablebold"/>
                <w:b w:val="0"/>
              </w:rPr>
              <w:t xml:space="preserve"> That</w:t>
            </w:r>
            <w:r w:rsidRPr="008A43AA">
              <w:rPr>
                <w:rStyle w:val="Firstpagetablebold"/>
                <w:b w:val="0"/>
              </w:rPr>
              <w:t xml:space="preserve"> the</w:t>
            </w:r>
            <w:r w:rsidR="00853FB3">
              <w:rPr>
                <w:rStyle w:val="Firstpagetablebold"/>
                <w:b w:val="0"/>
              </w:rPr>
              <w:t xml:space="preserve"> General Purposes Licensing</w:t>
            </w:r>
            <w:r w:rsidRPr="008A43AA">
              <w:rPr>
                <w:rStyle w:val="Firstpagetablebold"/>
                <w:b w:val="0"/>
              </w:rPr>
              <w:t xml:space="preserve"> </w:t>
            </w:r>
            <w:r w:rsidR="008A43AA" w:rsidRPr="008A43AA">
              <w:rPr>
                <w:rStyle w:val="Firstpagetablebold"/>
                <w:b w:val="0"/>
              </w:rPr>
              <w:t xml:space="preserve">Committee </w:t>
            </w:r>
            <w:r w:rsidRPr="008A43AA">
              <w:rPr>
                <w:rStyle w:val="Firstpagetablebold"/>
                <w:b w:val="0"/>
              </w:rPr>
              <w:t>resolves to:</w:t>
            </w:r>
          </w:p>
        </w:tc>
      </w:tr>
      <w:tr w:rsidR="0030208D" w:rsidRPr="00975B07" w14:paraId="3CBBEC69" w14:textId="77777777" w:rsidTr="00CB7549">
        <w:trPr>
          <w:trHeight w:val="64"/>
        </w:trPr>
        <w:tc>
          <w:tcPr>
            <w:tcW w:w="426" w:type="dxa"/>
            <w:tcBorders>
              <w:top w:val="single" w:sz="8" w:space="0" w:color="000000"/>
              <w:left w:val="single" w:sz="8" w:space="0" w:color="000000"/>
              <w:bottom w:val="nil"/>
              <w:right w:val="nil"/>
            </w:tcBorders>
          </w:tcPr>
          <w:p w14:paraId="16115FAD" w14:textId="77777777" w:rsidR="0030208D" w:rsidRPr="00975B07" w:rsidRDefault="00046D2B" w:rsidP="004A6D2F">
            <w:r w:rsidRPr="00975B07">
              <w:t>1.</w:t>
            </w:r>
          </w:p>
        </w:tc>
        <w:tc>
          <w:tcPr>
            <w:tcW w:w="8930" w:type="dxa"/>
            <w:gridSpan w:val="2"/>
            <w:tcBorders>
              <w:top w:val="single" w:sz="8" w:space="0" w:color="000000"/>
              <w:left w:val="nil"/>
              <w:bottom w:val="nil"/>
              <w:right w:val="single" w:sz="8" w:space="0" w:color="000000"/>
            </w:tcBorders>
            <w:shd w:val="clear" w:color="auto" w:fill="auto"/>
          </w:tcPr>
          <w:p w14:paraId="33902A85" w14:textId="02F522BB" w:rsidR="0030208D" w:rsidRPr="001356F1" w:rsidRDefault="00D73AAA" w:rsidP="00CB7549">
            <w:r w:rsidRPr="00CB7549">
              <w:rPr>
                <w:b/>
              </w:rPr>
              <w:t>Note</w:t>
            </w:r>
            <w:r w:rsidRPr="00D32A2D">
              <w:t xml:space="preserve"> the current position and planned officer actions reg</w:t>
            </w:r>
            <w:r w:rsidR="00CB7549">
              <w:t>arding the matters within this r</w:t>
            </w:r>
            <w:r w:rsidRPr="00D32A2D">
              <w:t>eport</w:t>
            </w:r>
            <w:r w:rsidR="00045891">
              <w:t xml:space="preserve"> </w:t>
            </w:r>
          </w:p>
        </w:tc>
      </w:tr>
      <w:tr w:rsidR="00CB7549" w:rsidRPr="00CB7549" w14:paraId="07FAB266" w14:textId="77777777" w:rsidTr="00CB7549">
        <w:trPr>
          <w:trHeight w:val="64"/>
        </w:trPr>
        <w:tc>
          <w:tcPr>
            <w:tcW w:w="426" w:type="dxa"/>
            <w:tcBorders>
              <w:top w:val="nil"/>
              <w:left w:val="single" w:sz="8" w:space="0" w:color="000000"/>
              <w:bottom w:val="single" w:sz="4" w:space="0" w:color="auto"/>
              <w:right w:val="nil"/>
            </w:tcBorders>
          </w:tcPr>
          <w:p w14:paraId="6302E81F" w14:textId="325177E0" w:rsidR="00CB7549" w:rsidRPr="00CB7549" w:rsidRDefault="00CB7549" w:rsidP="00F84BE7"/>
        </w:tc>
        <w:tc>
          <w:tcPr>
            <w:tcW w:w="8930" w:type="dxa"/>
            <w:gridSpan w:val="2"/>
            <w:tcBorders>
              <w:top w:val="nil"/>
              <w:left w:val="nil"/>
              <w:bottom w:val="single" w:sz="4" w:space="0" w:color="auto"/>
              <w:right w:val="single" w:sz="8" w:space="0" w:color="000000"/>
            </w:tcBorders>
            <w:shd w:val="clear" w:color="auto" w:fill="auto"/>
          </w:tcPr>
          <w:p w14:paraId="018FE2C1" w14:textId="462F4C9A" w:rsidR="00CB7549" w:rsidRPr="00CB7549" w:rsidRDefault="00CB7549" w:rsidP="00E22D0E">
            <w:pPr>
              <w:rPr>
                <w:b/>
              </w:rPr>
            </w:pPr>
          </w:p>
        </w:tc>
      </w:tr>
    </w:tbl>
    <w:p w14:paraId="0F684DE3" w14:textId="77777777" w:rsidR="00853FB3" w:rsidRPr="00853FB3" w:rsidRDefault="00853FB3" w:rsidP="00853FB3"/>
    <w:p w14:paraId="2F80B3DD" w14:textId="5B7B0BCF" w:rsidR="00853FB3" w:rsidRDefault="00853FB3" w:rsidP="00181BA7">
      <w:pPr>
        <w:numPr>
          <w:ilvl w:val="0"/>
          <w:numId w:val="6"/>
        </w:numPr>
        <w:tabs>
          <w:tab w:val="clear" w:pos="1080"/>
          <w:tab w:val="num" w:pos="1134"/>
          <w:tab w:val="num" w:pos="1276"/>
        </w:tabs>
        <w:spacing w:after="0"/>
        <w:ind w:left="1134" w:hanging="425"/>
      </w:pPr>
      <w:r>
        <w:t>Th</w:t>
      </w:r>
      <w:r w:rsidR="007B5CF9">
        <w:t>is</w:t>
      </w:r>
      <w:r>
        <w:t xml:space="preserve"> report is </w:t>
      </w:r>
      <w:r w:rsidR="007B5CF9">
        <w:t xml:space="preserve">intended </w:t>
      </w:r>
      <w:r w:rsidR="000515B9">
        <w:t>t</w:t>
      </w:r>
      <w:r w:rsidR="000515B9" w:rsidRPr="000515B9">
        <w:t xml:space="preserve">o </w:t>
      </w:r>
      <w:r w:rsidR="007B5CF9">
        <w:t xml:space="preserve">inform </w:t>
      </w:r>
      <w:r w:rsidR="000B6C68">
        <w:t>the General Purposes Licensing Committee</w:t>
      </w:r>
      <w:r w:rsidR="007B5CF9">
        <w:t xml:space="preserve"> about progress with and plans regarding some key topics within the remit</w:t>
      </w:r>
      <w:r w:rsidR="00D32A2D">
        <w:t xml:space="preserve"> of </w:t>
      </w:r>
      <w:r w:rsidR="001E14E4">
        <w:t xml:space="preserve">the Council’s </w:t>
      </w:r>
      <w:r w:rsidR="00D32A2D">
        <w:t>“Miscellaneous Licensing” f</w:t>
      </w:r>
      <w:r w:rsidR="007B5CF9">
        <w:t>unctions.</w:t>
      </w:r>
    </w:p>
    <w:p w14:paraId="0D29D201" w14:textId="77777777" w:rsidR="00F62B7C" w:rsidRDefault="00F62B7C" w:rsidP="00F62B7C">
      <w:pPr>
        <w:tabs>
          <w:tab w:val="num" w:pos="1276"/>
        </w:tabs>
        <w:spacing w:after="0"/>
        <w:ind w:left="1134"/>
      </w:pPr>
    </w:p>
    <w:p w14:paraId="5B76E639" w14:textId="5CEBB02F" w:rsidR="00F62B7C" w:rsidRDefault="00F62B7C" w:rsidP="00F62B7C">
      <w:pPr>
        <w:spacing w:after="0"/>
        <w:rPr>
          <w:b/>
        </w:rPr>
      </w:pPr>
      <w:r w:rsidRPr="006B20E6">
        <w:rPr>
          <w:b/>
        </w:rPr>
        <w:t>Pavement Licensing</w:t>
      </w:r>
      <w:r>
        <w:rPr>
          <w:b/>
        </w:rPr>
        <w:t xml:space="preserve"> </w:t>
      </w:r>
    </w:p>
    <w:p w14:paraId="3919DA71" w14:textId="77777777" w:rsidR="0014606E" w:rsidRDefault="0014606E" w:rsidP="00F62B7C">
      <w:pPr>
        <w:spacing w:after="0"/>
        <w:rPr>
          <w:b/>
        </w:rPr>
      </w:pPr>
    </w:p>
    <w:p w14:paraId="02BBD59E" w14:textId="7BF34B1B" w:rsidR="00B66086" w:rsidRDefault="00B66086" w:rsidP="00B66086">
      <w:pPr>
        <w:pStyle w:val="ListParagraph"/>
        <w:numPr>
          <w:ilvl w:val="0"/>
          <w:numId w:val="6"/>
        </w:numPr>
      </w:pPr>
      <w:r w:rsidRPr="00B66086">
        <w:t xml:space="preserve">On 31 March 2024, the </w:t>
      </w:r>
      <w:r>
        <w:t xml:space="preserve">temporary </w:t>
      </w:r>
      <w:r w:rsidRPr="00B66086">
        <w:t>pavement licensing provisions introduced by the Business and Planning Act 2020 (</w:t>
      </w:r>
      <w:r w:rsidR="0046758E">
        <w:t>“the 2020 Act”</w:t>
      </w:r>
      <w:r w:rsidRPr="00B66086">
        <w:t xml:space="preserve">) </w:t>
      </w:r>
      <w:r>
        <w:t xml:space="preserve">were </w:t>
      </w:r>
      <w:r w:rsidRPr="00B66086">
        <w:t xml:space="preserve">amended </w:t>
      </w:r>
      <w:r>
        <w:t xml:space="preserve">by implementation of </w:t>
      </w:r>
      <w:r w:rsidR="0046758E">
        <w:t xml:space="preserve">Section 229 and Schedule 22 </w:t>
      </w:r>
      <w:r>
        <w:t xml:space="preserve">of </w:t>
      </w:r>
      <w:r w:rsidRPr="00B66086">
        <w:t>the Levelling Up and Regeneration Act 2023 (</w:t>
      </w:r>
      <w:r w:rsidR="0046758E">
        <w:t>“the 2023 Act”</w:t>
      </w:r>
      <w:r w:rsidRPr="00B66086">
        <w:t>)</w:t>
      </w:r>
      <w:r>
        <w:t>.</w:t>
      </w:r>
      <w:r w:rsidRPr="00B66086">
        <w:t xml:space="preserve"> The amend</w:t>
      </w:r>
      <w:r>
        <w:t>ments</w:t>
      </w:r>
      <w:r w:rsidRPr="00B66086">
        <w:t xml:space="preserve"> introduce a permanent pavement licensing regime in England, which retains the key features of the 2020 regime (which was intended to streamline processing and reduce costs) but also incorporates some changes, “</w:t>
      </w:r>
      <w:r w:rsidRPr="001C1095">
        <w:rPr>
          <w:i/>
          <w:iCs/>
        </w:rPr>
        <w:t>to ensure the long-term sustainability of the pavement licensing model</w:t>
      </w:r>
      <w:r w:rsidRPr="00B66086">
        <w:t>.”</w:t>
      </w:r>
      <w:r>
        <w:t xml:space="preserve"> The main changes are shown in Appendix </w:t>
      </w:r>
      <w:r w:rsidR="00733908">
        <w:t>A</w:t>
      </w:r>
      <w:r>
        <w:t>.</w:t>
      </w:r>
    </w:p>
    <w:p w14:paraId="32C690D9" w14:textId="79FAB3F4" w:rsidR="00E54986" w:rsidRPr="00B66086" w:rsidRDefault="00E54986" w:rsidP="00B66086">
      <w:pPr>
        <w:pStyle w:val="ListParagraph"/>
        <w:numPr>
          <w:ilvl w:val="0"/>
          <w:numId w:val="6"/>
        </w:numPr>
      </w:pPr>
      <w:r w:rsidRPr="00E54986">
        <w:t xml:space="preserve">The changes </w:t>
      </w:r>
      <w:r w:rsidR="006620B0">
        <w:t>were</w:t>
      </w:r>
      <w:r w:rsidRPr="00E54986">
        <w:t xml:space="preserve"> brought about by The Levelling-up and Regeneration Act 2023 (Commencement No. 3 and Transitional and Savings Provision) Regulations 2024</w:t>
      </w:r>
      <w:r w:rsidR="007764CB">
        <w:t>/389</w:t>
      </w:r>
      <w:r w:rsidR="006C2418">
        <w:t xml:space="preserve"> (“the enabling Regulations”). </w:t>
      </w:r>
      <w:r>
        <w:t xml:space="preserve">Transitional Provisions </w:t>
      </w:r>
      <w:r w:rsidR="006C2418">
        <w:t>in</w:t>
      </w:r>
      <w:r>
        <w:t xml:space="preserve"> the enabling Regulations</w:t>
      </w:r>
      <w:r w:rsidR="006C2418">
        <w:t xml:space="preserve"> dictate which provisions apply to </w:t>
      </w:r>
      <w:r w:rsidR="00097C87">
        <w:t>existing pavement licenses (</w:t>
      </w:r>
      <w:r w:rsidR="00097C87" w:rsidRPr="00097C87">
        <w:t xml:space="preserve">those </w:t>
      </w:r>
      <w:r w:rsidR="00097C87">
        <w:t xml:space="preserve">in place or subject to an </w:t>
      </w:r>
      <w:r w:rsidR="00097C87" w:rsidRPr="00097C87">
        <w:t>appl</w:t>
      </w:r>
      <w:r w:rsidR="00097C87">
        <w:t xml:space="preserve">ication made </w:t>
      </w:r>
      <w:r w:rsidR="00097C87" w:rsidRPr="00097C87">
        <w:t xml:space="preserve">before the </w:t>
      </w:r>
      <w:r w:rsidR="0014606E" w:rsidRPr="00097C87">
        <w:t>1st of</w:t>
      </w:r>
      <w:r w:rsidR="00097C87" w:rsidRPr="00097C87">
        <w:t xml:space="preserve"> April 2024)</w:t>
      </w:r>
      <w:r w:rsidR="00097C87">
        <w:t xml:space="preserve">, </w:t>
      </w:r>
      <w:r w:rsidR="00E90D8E">
        <w:t xml:space="preserve">with new </w:t>
      </w:r>
      <w:r w:rsidR="006C2418">
        <w:t xml:space="preserve">pavement licence applications </w:t>
      </w:r>
      <w:r w:rsidR="00E90D8E">
        <w:t xml:space="preserve">(those </w:t>
      </w:r>
      <w:r w:rsidR="006C2418">
        <w:t>made after 31</w:t>
      </w:r>
      <w:r w:rsidR="006C2418" w:rsidRPr="006C2418">
        <w:rPr>
          <w:vertAlign w:val="superscript"/>
        </w:rPr>
        <w:t>st</w:t>
      </w:r>
      <w:r w:rsidR="006C2418">
        <w:t xml:space="preserve"> </w:t>
      </w:r>
      <w:r w:rsidR="006C2418">
        <w:lastRenderedPageBreak/>
        <w:t>March 2024</w:t>
      </w:r>
      <w:r w:rsidR="00E90D8E">
        <w:t>)</w:t>
      </w:r>
      <w:r w:rsidR="006C2418">
        <w:t xml:space="preserve"> </w:t>
      </w:r>
      <w:r w:rsidR="00097C87">
        <w:t>coming</w:t>
      </w:r>
      <w:r w:rsidR="006C2418">
        <w:t xml:space="preserve"> fully under the amended provisions.</w:t>
      </w:r>
      <w:r w:rsidR="00E90D8E">
        <w:t xml:space="preserve"> Certain new or amended powers, including those of enforcement, apply retrospectively to existing licenses as well as new ones.</w:t>
      </w:r>
    </w:p>
    <w:p w14:paraId="1E4F675E" w14:textId="214CAA27" w:rsidR="00E54986" w:rsidRDefault="00E54986" w:rsidP="001C1095">
      <w:pPr>
        <w:pStyle w:val="ListParagraph"/>
        <w:numPr>
          <w:ilvl w:val="0"/>
          <w:numId w:val="6"/>
        </w:numPr>
      </w:pPr>
      <w:r>
        <w:t xml:space="preserve">Under the </w:t>
      </w:r>
      <w:r w:rsidR="00DE614E">
        <w:t>2023 Act</w:t>
      </w:r>
      <w:r>
        <w:t>,</w:t>
      </w:r>
      <w:r w:rsidR="001C1095" w:rsidRPr="00E54986">
        <w:t xml:space="preserve"> it is no</w:t>
      </w:r>
      <w:r w:rsidRPr="00E54986">
        <w:t xml:space="preserve"> longer</w:t>
      </w:r>
      <w:r w:rsidR="001C1095" w:rsidRPr="00E54986">
        <w:t xml:space="preserve"> permissible to grant a</w:t>
      </w:r>
      <w:r w:rsidR="001C1095" w:rsidRPr="001C1095">
        <w:t xml:space="preserve"> </w:t>
      </w:r>
      <w:r>
        <w:t xml:space="preserve">Street Café Licence under Section 80 of the Highways Act 1980, except in very specific situations. Existing Street Café Licence holders </w:t>
      </w:r>
      <w:r w:rsidR="006C2418">
        <w:t>have been</w:t>
      </w:r>
      <w:r>
        <w:t xml:space="preserve"> advised that, upon expiry of their current annual licence they will need to apply for a </w:t>
      </w:r>
      <w:r w:rsidR="006C2418">
        <w:t>p</w:t>
      </w:r>
      <w:r>
        <w:t xml:space="preserve">avement </w:t>
      </w:r>
      <w:r w:rsidR="006C2418">
        <w:t>l</w:t>
      </w:r>
      <w:r>
        <w:t>icence</w:t>
      </w:r>
      <w:r w:rsidR="006C2418">
        <w:t xml:space="preserve"> under the amended </w:t>
      </w:r>
      <w:r w:rsidR="0014606E">
        <w:t>provisions.</w:t>
      </w:r>
    </w:p>
    <w:p w14:paraId="50AE391E" w14:textId="1D83704F" w:rsidR="00F62B7C" w:rsidRPr="00551D48" w:rsidRDefault="006C2418" w:rsidP="00F62B7C">
      <w:pPr>
        <w:pStyle w:val="ListParagraph"/>
        <w:numPr>
          <w:ilvl w:val="0"/>
          <w:numId w:val="6"/>
        </w:numPr>
        <w:tabs>
          <w:tab w:val="clear" w:pos="426"/>
          <w:tab w:val="clear" w:pos="1080"/>
          <w:tab w:val="left" w:pos="1985"/>
        </w:tabs>
      </w:pPr>
      <w:r w:rsidRPr="00551D48">
        <w:t>All existing pavement licence holders have been notified of the changes</w:t>
      </w:r>
      <w:r w:rsidR="00DF48C2" w:rsidRPr="00551D48">
        <w:t xml:space="preserve"> and that, since their current pavement licence expires on 30</w:t>
      </w:r>
      <w:r w:rsidR="00DF48C2" w:rsidRPr="00551D48">
        <w:rPr>
          <w:vertAlign w:val="superscript"/>
        </w:rPr>
        <w:t>th</w:t>
      </w:r>
      <w:r w:rsidR="00DF48C2" w:rsidRPr="00551D48">
        <w:t xml:space="preserve"> September 2024, they will need to apply for a new, 2</w:t>
      </w:r>
      <w:r w:rsidR="006620B0" w:rsidRPr="00551D48">
        <w:t>-</w:t>
      </w:r>
      <w:r w:rsidR="00DF48C2" w:rsidRPr="00551D48">
        <w:t>year licence</w:t>
      </w:r>
      <w:r w:rsidR="006620B0" w:rsidRPr="00551D48">
        <w:t xml:space="preserve"> before that date.</w:t>
      </w:r>
      <w:r w:rsidRPr="00551D48">
        <w:t xml:space="preserve"> </w:t>
      </w:r>
      <w:r w:rsidR="00551D48" w:rsidRPr="00551D48">
        <w:t xml:space="preserve">However,  Licensing </w:t>
      </w:r>
      <w:r w:rsidR="00B20356">
        <w:t>A</w:t>
      </w:r>
      <w:r w:rsidR="00551D48" w:rsidRPr="00551D48">
        <w:t>uthorities should treat this as a renewal application if</w:t>
      </w:r>
      <w:r w:rsidR="00551D48">
        <w:t>:</w:t>
      </w:r>
      <w:r w:rsidR="00551D48" w:rsidRPr="00551D48">
        <w:t xml:space="preserve"> it is made by the licence-holder</w:t>
      </w:r>
      <w:r w:rsidR="00551D48">
        <w:t>;</w:t>
      </w:r>
      <w:r w:rsidR="00551D48" w:rsidRPr="00551D48">
        <w:t xml:space="preserve"> it is in respect of the same premises</w:t>
      </w:r>
      <w:r w:rsidR="00551D48">
        <w:t>;</w:t>
      </w:r>
      <w:r w:rsidR="00551D48" w:rsidRPr="00551D48">
        <w:t xml:space="preserve"> and it is on the same terms as the expired licence</w:t>
      </w:r>
      <w:r w:rsidR="00D16170">
        <w:t xml:space="preserve"> (Regulation 5(3), Schedule 22 of the 2023 Act)</w:t>
      </w:r>
      <w:r w:rsidR="00551D48" w:rsidRPr="00551D48">
        <w:t>.</w:t>
      </w:r>
    </w:p>
    <w:p w14:paraId="1FD2C1A8" w14:textId="0DCE1C04" w:rsidR="00DF48C2" w:rsidRPr="00551D48" w:rsidRDefault="00DF48C2" w:rsidP="00F62B7C">
      <w:pPr>
        <w:pStyle w:val="ListParagraph"/>
        <w:numPr>
          <w:ilvl w:val="0"/>
          <w:numId w:val="6"/>
        </w:numPr>
        <w:tabs>
          <w:tab w:val="clear" w:pos="426"/>
          <w:tab w:val="clear" w:pos="1080"/>
          <w:tab w:val="left" w:pos="1985"/>
        </w:tabs>
      </w:pPr>
      <w:r w:rsidRPr="00551D48">
        <w:t>All web-based content referring to Pavement Licenses and Street Café Licences has been updated in line with the changes, together with associated application forms and other documents.</w:t>
      </w:r>
    </w:p>
    <w:p w14:paraId="1310202C" w14:textId="77777777" w:rsidR="00097C87" w:rsidRDefault="00097C87" w:rsidP="00DF6ED9">
      <w:pPr>
        <w:pStyle w:val="Heading1"/>
        <w:spacing w:after="0"/>
      </w:pPr>
      <w:r>
        <w:t>Pavement Licence Smokefree Provisions</w:t>
      </w:r>
    </w:p>
    <w:p w14:paraId="0F2F8CA9" w14:textId="7A30C14A" w:rsidR="00097C87" w:rsidRPr="00136956" w:rsidRDefault="00097C87" w:rsidP="00136956">
      <w:pPr>
        <w:pStyle w:val="ListParagraph"/>
        <w:numPr>
          <w:ilvl w:val="0"/>
          <w:numId w:val="6"/>
        </w:numPr>
        <w:rPr>
          <w:i/>
          <w:iCs/>
        </w:rPr>
      </w:pPr>
      <w:r w:rsidRPr="00136956">
        <w:t xml:space="preserve">At its </w:t>
      </w:r>
      <w:r w:rsidR="00136956" w:rsidRPr="00136956">
        <w:t>meeting of 5</w:t>
      </w:r>
      <w:r w:rsidR="00136956" w:rsidRPr="00136956">
        <w:rPr>
          <w:vertAlign w:val="superscript"/>
        </w:rPr>
        <w:t>th</w:t>
      </w:r>
      <w:r w:rsidR="00136956" w:rsidRPr="00136956">
        <w:t xml:space="preserve"> February 2024, Committee requested “</w:t>
      </w:r>
      <w:r w:rsidR="00136956" w:rsidRPr="00136956">
        <w:rPr>
          <w:i/>
          <w:iCs/>
        </w:rPr>
        <w:t>the Business Regulations Team to prepare a report setting out the feasibility and implementation requirements for an amendment to the pavement licence provision to include an incentivised fee for smoke-free and vape-free establishments, for consideration of the Committee at its next meeting in May 2024.</w:t>
      </w:r>
    </w:p>
    <w:p w14:paraId="1ED23C9C" w14:textId="0C4B9270" w:rsidR="00136956" w:rsidRPr="00551D48" w:rsidRDefault="00136956" w:rsidP="00136956">
      <w:pPr>
        <w:pStyle w:val="ListParagraph"/>
        <w:numPr>
          <w:ilvl w:val="0"/>
          <w:numId w:val="6"/>
        </w:numPr>
        <w:rPr>
          <w:i/>
          <w:iCs/>
        </w:rPr>
      </w:pPr>
      <w:r w:rsidRPr="00551D48">
        <w:t xml:space="preserve">The earlier than expected commencement of the </w:t>
      </w:r>
      <w:r w:rsidR="00D16170">
        <w:t xml:space="preserve">2023 Act </w:t>
      </w:r>
      <w:r w:rsidRPr="00551D48">
        <w:t>has required Business Regulation Team officers to prioritise implementation measures</w:t>
      </w:r>
      <w:r w:rsidR="00551D48" w:rsidRPr="00551D48">
        <w:t xml:space="preserve"> over other work.</w:t>
      </w:r>
      <w:r w:rsidRPr="00551D48">
        <w:t xml:space="preserve"> It has not been possible to produce the requested report</w:t>
      </w:r>
      <w:r w:rsidR="00551D48" w:rsidRPr="00551D48">
        <w:t xml:space="preserve">, though working towards a report </w:t>
      </w:r>
      <w:r w:rsidR="00B20356">
        <w:t>for the 22</w:t>
      </w:r>
      <w:r w:rsidR="00B20356" w:rsidRPr="00B20356">
        <w:rPr>
          <w:vertAlign w:val="superscript"/>
        </w:rPr>
        <w:t>nd</w:t>
      </w:r>
      <w:r w:rsidR="00B20356">
        <w:t xml:space="preserve"> September Committee meeting </w:t>
      </w:r>
      <w:r w:rsidR="00551D48" w:rsidRPr="00551D48">
        <w:t xml:space="preserve">has begun. </w:t>
      </w:r>
    </w:p>
    <w:p w14:paraId="05A0666D" w14:textId="4173D070" w:rsidR="00DF6ED9" w:rsidRPr="0014606E" w:rsidRDefault="007B5CF9" w:rsidP="0014606E">
      <w:pPr>
        <w:pStyle w:val="Heading1"/>
      </w:pPr>
      <w:r w:rsidRPr="0014606E">
        <w:t xml:space="preserve">Street Trading </w:t>
      </w:r>
      <w:r w:rsidR="00DF48C2" w:rsidRPr="0014606E">
        <w:t xml:space="preserve">and </w:t>
      </w:r>
      <w:r w:rsidR="006620B0" w:rsidRPr="0014606E">
        <w:t>Traffic Management Controls</w:t>
      </w:r>
    </w:p>
    <w:p w14:paraId="4DD5B971" w14:textId="3CD59E1A" w:rsidR="00F64F11" w:rsidRPr="00F64F11" w:rsidRDefault="00DF48C2" w:rsidP="00F64F11">
      <w:pPr>
        <w:pStyle w:val="ListParagraph"/>
        <w:numPr>
          <w:ilvl w:val="0"/>
          <w:numId w:val="6"/>
        </w:numPr>
        <w:spacing w:after="16"/>
        <w:rPr>
          <w:sz w:val="23"/>
          <w:szCs w:val="23"/>
        </w:rPr>
      </w:pPr>
      <w:r>
        <w:t xml:space="preserve">In considering an application </w:t>
      </w:r>
      <w:r w:rsidR="00127104">
        <w:t xml:space="preserve">for renewal of a Street Trading Consent </w:t>
      </w:r>
      <w:r w:rsidR="00F64F11">
        <w:t xml:space="preserve">from James Sheriff, </w:t>
      </w:r>
      <w:r>
        <w:t>at its 25</w:t>
      </w:r>
      <w:r w:rsidRPr="00F64F11">
        <w:rPr>
          <w:vertAlign w:val="superscript"/>
        </w:rPr>
        <w:t>th</w:t>
      </w:r>
      <w:r>
        <w:t xml:space="preserve"> March 2024 meeting, </w:t>
      </w:r>
      <w:r w:rsidR="006620B0">
        <w:t>t</w:t>
      </w:r>
      <w:r w:rsidRPr="00DF48C2">
        <w:t xml:space="preserve">he General Purposes Licensing Casework Sub-Committee </w:t>
      </w:r>
      <w:r>
        <w:t xml:space="preserve">(“the Sub-Committee”) </w:t>
      </w:r>
      <w:r w:rsidR="006620B0">
        <w:t xml:space="preserve">discussed the legal and policy status of street trading and traffic management controls, as implemented by the City and County Councils, respectively. </w:t>
      </w:r>
      <w:r w:rsidR="00F64F11">
        <w:t>Having done so</w:t>
      </w:r>
      <w:r w:rsidR="006620B0">
        <w:t xml:space="preserve">, </w:t>
      </w:r>
      <w:r w:rsidR="00097C87">
        <w:t>they</w:t>
      </w:r>
      <w:r>
        <w:t xml:space="preserve"> </w:t>
      </w:r>
      <w:r w:rsidRPr="00DF48C2">
        <w:t>resolved to:</w:t>
      </w:r>
    </w:p>
    <w:p w14:paraId="1B3811C0" w14:textId="77777777" w:rsidR="00F64F11" w:rsidRDefault="00F64F11" w:rsidP="00F64F11">
      <w:pPr>
        <w:pStyle w:val="Default"/>
        <w:numPr>
          <w:ilvl w:val="1"/>
          <w:numId w:val="6"/>
        </w:numPr>
        <w:rPr>
          <w:sz w:val="23"/>
          <w:szCs w:val="23"/>
        </w:rPr>
      </w:pPr>
      <w:r>
        <w:rPr>
          <w:b/>
          <w:bCs/>
          <w:sz w:val="23"/>
          <w:szCs w:val="23"/>
        </w:rPr>
        <w:t xml:space="preserve">Grant </w:t>
      </w:r>
      <w:r>
        <w:rPr>
          <w:sz w:val="23"/>
          <w:szCs w:val="23"/>
        </w:rPr>
        <w:t xml:space="preserve">Mr Sherriff’s renewal application for Street Trading Consent, subject to the same conditions to that of his previous consent, enabling him to trade until 31 March 2025 </w:t>
      </w:r>
    </w:p>
    <w:p w14:paraId="67DA88AB" w14:textId="7B672800" w:rsidR="00F64F11" w:rsidRDefault="00097C87" w:rsidP="00F64F11">
      <w:pPr>
        <w:pStyle w:val="ListParagraph"/>
        <w:numPr>
          <w:ilvl w:val="1"/>
          <w:numId w:val="6"/>
        </w:numPr>
        <w:spacing w:after="16"/>
        <w:rPr>
          <w:sz w:val="23"/>
          <w:szCs w:val="23"/>
        </w:rPr>
      </w:pPr>
      <w:r w:rsidRPr="00F64F11">
        <w:rPr>
          <w:b/>
          <w:bCs/>
          <w:sz w:val="23"/>
          <w:szCs w:val="23"/>
        </w:rPr>
        <w:t xml:space="preserve">Refer </w:t>
      </w:r>
      <w:r w:rsidRPr="00F64F11">
        <w:rPr>
          <w:sz w:val="23"/>
          <w:szCs w:val="23"/>
        </w:rPr>
        <w:t xml:space="preserve">the matter of the review of the Council's consultation processes and policy, including Section 6.4 of the Street Trading Policy, to the General Purposes Licensing </w:t>
      </w:r>
      <w:r w:rsidR="0014606E" w:rsidRPr="00F64F11">
        <w:rPr>
          <w:sz w:val="23"/>
          <w:szCs w:val="23"/>
        </w:rPr>
        <w:t>Committee.</w:t>
      </w:r>
    </w:p>
    <w:p w14:paraId="5B21D0B6" w14:textId="0DE69A55" w:rsidR="00097C87" w:rsidRPr="00F64F11" w:rsidRDefault="00097C87" w:rsidP="00F64F11">
      <w:pPr>
        <w:pStyle w:val="ListParagraph"/>
        <w:numPr>
          <w:ilvl w:val="1"/>
          <w:numId w:val="6"/>
        </w:numPr>
        <w:spacing w:after="16"/>
        <w:rPr>
          <w:sz w:val="23"/>
          <w:szCs w:val="23"/>
        </w:rPr>
      </w:pPr>
      <w:r w:rsidRPr="00F64F11">
        <w:rPr>
          <w:b/>
          <w:bCs/>
          <w:sz w:val="23"/>
          <w:szCs w:val="23"/>
        </w:rPr>
        <w:t xml:space="preserve">Request </w:t>
      </w:r>
      <w:r w:rsidRPr="00F64F11">
        <w:rPr>
          <w:sz w:val="23"/>
          <w:szCs w:val="23"/>
        </w:rPr>
        <w:t xml:space="preserve">the Chair of the General Purposes Committee to call on the relevant Cabinet Members of both City and County Councils to review the traffic restrictions imposed on Frideswide Square and align this with the shared vision of both councils in relation to their policies on public realms. </w:t>
      </w:r>
    </w:p>
    <w:p w14:paraId="6FBF8ADD" w14:textId="77777777" w:rsidR="00F84BE7" w:rsidRDefault="00F84BE7" w:rsidP="00181BA7">
      <w:pPr>
        <w:pStyle w:val="ListParagraph"/>
        <w:numPr>
          <w:ilvl w:val="0"/>
          <w:numId w:val="0"/>
        </w:numPr>
        <w:ind w:left="2064"/>
      </w:pPr>
    </w:p>
    <w:p w14:paraId="5A0F089A" w14:textId="77777777" w:rsidR="001B4774" w:rsidRPr="001B4774" w:rsidRDefault="000A2A9E" w:rsidP="00F62B7C">
      <w:pPr>
        <w:pStyle w:val="ListParagraph"/>
        <w:numPr>
          <w:ilvl w:val="0"/>
          <w:numId w:val="6"/>
        </w:numPr>
        <w:spacing w:after="0"/>
      </w:pPr>
      <w:r>
        <w:t>Regarding</w:t>
      </w:r>
      <w:r w:rsidR="00F64F11">
        <w:t xml:space="preserve"> item 8.b., officers have liaised with their County Council colleagues </w:t>
      </w:r>
      <w:r>
        <w:t xml:space="preserve">to </w:t>
      </w:r>
      <w:r w:rsidR="00F64F11">
        <w:t>amend</w:t>
      </w:r>
      <w:r>
        <w:t xml:space="preserve"> the</w:t>
      </w:r>
      <w:r w:rsidR="00F64F11">
        <w:t xml:space="preserve"> process for street trading application </w:t>
      </w:r>
      <w:r w:rsidR="00F64F11" w:rsidRPr="001B4774">
        <w:t>consultation</w:t>
      </w:r>
      <w:r w:rsidRPr="001B4774">
        <w:t xml:space="preserve">, </w:t>
      </w:r>
      <w:r w:rsidRPr="001B4774">
        <w:lastRenderedPageBreak/>
        <w:t xml:space="preserve">so that it ensures that all relevant teams within the Highway Authority are able to comment upon each application. </w:t>
      </w:r>
    </w:p>
    <w:p w14:paraId="641912F4" w14:textId="55A668DE" w:rsidR="00F64F11" w:rsidRDefault="001B4774" w:rsidP="00F62B7C">
      <w:pPr>
        <w:pStyle w:val="ListParagraph"/>
        <w:numPr>
          <w:ilvl w:val="0"/>
          <w:numId w:val="6"/>
        </w:numPr>
        <w:spacing w:after="0"/>
      </w:pPr>
      <w:r>
        <w:t>Regarding</w:t>
      </w:r>
      <w:r w:rsidR="000A2A9E">
        <w:t xml:space="preserve"> consultation policy, including Section 6.4, officers consider that a review would need to take account of the </w:t>
      </w:r>
      <w:r w:rsidR="007226BC">
        <w:t>outcomes from any actions taken in response to the request in item 8.c.</w:t>
      </w:r>
      <w:r w:rsidR="00127104">
        <w:t xml:space="preserve"> A further update on this matter will therefore be submitted to the next Committee Meeting of </w:t>
      </w:r>
      <w:r>
        <w:t>23</w:t>
      </w:r>
      <w:r w:rsidRPr="001B4774">
        <w:rPr>
          <w:vertAlign w:val="superscript"/>
        </w:rPr>
        <w:t>rd</w:t>
      </w:r>
      <w:r>
        <w:t xml:space="preserve"> September 2024.</w:t>
      </w:r>
    </w:p>
    <w:p w14:paraId="45E3AA57" w14:textId="57C58E6F" w:rsidR="00127104" w:rsidRDefault="00127104" w:rsidP="00BF2391">
      <w:pPr>
        <w:pStyle w:val="ListParagraph"/>
        <w:numPr>
          <w:ilvl w:val="0"/>
          <w:numId w:val="6"/>
        </w:numPr>
        <w:spacing w:after="0"/>
      </w:pPr>
      <w:r>
        <w:t xml:space="preserve">In </w:t>
      </w:r>
      <w:r w:rsidR="001B4774">
        <w:t>support of elected Members as they engage with</w:t>
      </w:r>
      <w:r>
        <w:t xml:space="preserve"> Item 8.c.</w:t>
      </w:r>
      <w:r w:rsidR="001B4774">
        <w:t>,</w:t>
      </w:r>
      <w:r>
        <w:t xml:space="preserve"> officers </w:t>
      </w:r>
      <w:r w:rsidR="001B4774">
        <w:t>have raised the matter of Frideswide Square traffic restriction</w:t>
      </w:r>
      <w:r w:rsidR="00293CFD">
        <w:t xml:space="preserve"> review</w:t>
      </w:r>
      <w:r w:rsidR="001B4774">
        <w:t xml:space="preserve"> with the City-County Active Transport Group (CCAT). </w:t>
      </w:r>
      <w:r w:rsidR="00293CFD">
        <w:t xml:space="preserve">Officers consider that the principles and process for such a review would also apply to the wider review of 20 other street trading sites in the </w:t>
      </w:r>
      <w:r w:rsidR="0014606E">
        <w:t>city</w:t>
      </w:r>
      <w:r w:rsidR="00293CFD">
        <w:t xml:space="preserve">, which are located in or near to traffic </w:t>
      </w:r>
      <w:r w:rsidR="0014606E">
        <w:t>management-controlled</w:t>
      </w:r>
      <w:r w:rsidR="00293CFD">
        <w:t xml:space="preserve"> areas.</w:t>
      </w:r>
      <w:r>
        <w:t xml:space="preserve"> </w:t>
      </w:r>
    </w:p>
    <w:p w14:paraId="4C0D02DE" w14:textId="77777777" w:rsidR="007226BC" w:rsidRDefault="007226BC" w:rsidP="007226BC">
      <w:pPr>
        <w:spacing w:after="0"/>
      </w:pPr>
    </w:p>
    <w:p w14:paraId="5F6EFDA1" w14:textId="2441FABE" w:rsidR="007226BC" w:rsidRDefault="007226BC" w:rsidP="007226BC">
      <w:pPr>
        <w:spacing w:after="0"/>
        <w:rPr>
          <w:b/>
          <w:bCs/>
        </w:rPr>
      </w:pPr>
      <w:bookmarkStart w:id="0" w:name="_Hlk165986150"/>
      <w:r w:rsidRPr="007226BC">
        <w:rPr>
          <w:b/>
          <w:bCs/>
        </w:rPr>
        <w:t>Street Trading Consent numbers</w:t>
      </w:r>
    </w:p>
    <w:p w14:paraId="0B09C819" w14:textId="77777777" w:rsidR="0014606E" w:rsidRPr="007226BC" w:rsidRDefault="0014606E" w:rsidP="007226BC">
      <w:pPr>
        <w:spacing w:after="0"/>
        <w:rPr>
          <w:b/>
          <w:bCs/>
        </w:rPr>
      </w:pPr>
    </w:p>
    <w:p w14:paraId="5368FF90" w14:textId="6C566A11" w:rsidR="00174141" w:rsidRDefault="007226BC" w:rsidP="00F62B7C">
      <w:pPr>
        <w:pStyle w:val="ListParagraph"/>
        <w:numPr>
          <w:ilvl w:val="0"/>
          <w:numId w:val="6"/>
        </w:numPr>
        <w:spacing w:after="0"/>
      </w:pPr>
      <w:r>
        <w:t>As of 1</w:t>
      </w:r>
      <w:r w:rsidRPr="007226BC">
        <w:rPr>
          <w:vertAlign w:val="superscript"/>
        </w:rPr>
        <w:t>st</w:t>
      </w:r>
      <w:r>
        <w:t xml:space="preserve"> May 2024, </w:t>
      </w:r>
      <w:r w:rsidR="00293CFD">
        <w:t>35</w:t>
      </w:r>
      <w:r>
        <w:t xml:space="preserve"> Street Trading Consents are in place. These result from</w:t>
      </w:r>
      <w:r w:rsidR="00293CFD">
        <w:t xml:space="preserve"> 35</w:t>
      </w:r>
      <w:r>
        <w:t xml:space="preserve"> renewal applications</w:t>
      </w:r>
      <w:r w:rsidR="00293CFD">
        <w:t>, including 5 from traders who started up in 2023-24. In the same period, 4 c</w:t>
      </w:r>
      <w:r w:rsidR="00DF6ED9">
        <w:t xml:space="preserve">onsent holders </w:t>
      </w:r>
      <w:r w:rsidR="00DF6ED9" w:rsidRPr="00DF6ED9">
        <w:t xml:space="preserve">ceased trading, </w:t>
      </w:r>
      <w:r w:rsidR="00293CFD">
        <w:t xml:space="preserve">with 1 </w:t>
      </w:r>
      <w:r w:rsidR="00DF6ED9" w:rsidRPr="00DF6ED9">
        <w:t>c</w:t>
      </w:r>
      <w:r w:rsidR="00174141">
        <w:t>losing one of 2 sites</w:t>
      </w:r>
      <w:r w:rsidR="00293CFD">
        <w:t xml:space="preserve">. </w:t>
      </w:r>
      <w:r w:rsidR="00174141">
        <w:t xml:space="preserve">This represents an overall increase in consents issued of one, compared to 2022-23. </w:t>
      </w:r>
    </w:p>
    <w:p w14:paraId="1FAEF572" w14:textId="0A9E87B4" w:rsidR="007226BC" w:rsidRDefault="00174141" w:rsidP="00F62B7C">
      <w:pPr>
        <w:pStyle w:val="ListParagraph"/>
        <w:numPr>
          <w:ilvl w:val="0"/>
          <w:numId w:val="6"/>
        </w:numPr>
        <w:spacing w:after="0"/>
      </w:pPr>
      <w:r>
        <w:t>One</w:t>
      </w:r>
      <w:r w:rsidR="007226BC">
        <w:t xml:space="preserve"> new application is </w:t>
      </w:r>
      <w:r>
        <w:t>in</w:t>
      </w:r>
      <w:r w:rsidR="007226BC">
        <w:t xml:space="preserve"> hand, awaiting referral to Sub-Committee for decision.</w:t>
      </w:r>
    </w:p>
    <w:bookmarkEnd w:id="0"/>
    <w:p w14:paraId="5703810F" w14:textId="534C54D6" w:rsidR="00EB7BC8" w:rsidRDefault="00DF6ED9" w:rsidP="00F62B7C">
      <w:pPr>
        <w:pStyle w:val="ListParagraph"/>
        <w:numPr>
          <w:ilvl w:val="0"/>
          <w:numId w:val="6"/>
        </w:numPr>
        <w:spacing w:after="0"/>
      </w:pPr>
      <w:r w:rsidRPr="00DF6ED9">
        <w:t xml:space="preserve">The St </w:t>
      </w:r>
      <w:r>
        <w:t>A</w:t>
      </w:r>
      <w:r w:rsidRPr="00DF6ED9">
        <w:t xml:space="preserve">ldate’s </w:t>
      </w:r>
      <w:r>
        <w:t xml:space="preserve">fixed site (previously </w:t>
      </w:r>
      <w:r w:rsidR="00B20356">
        <w:t xml:space="preserve">occupied by </w:t>
      </w:r>
      <w:r>
        <w:t>Gore’s Van)</w:t>
      </w:r>
      <w:r w:rsidRPr="00DF6ED9">
        <w:t xml:space="preserve"> </w:t>
      </w:r>
      <w:r w:rsidR="007226BC">
        <w:t xml:space="preserve">has not been advertised, pending the outcome of the wider site review. A vacant site in High </w:t>
      </w:r>
      <w:r w:rsidR="0014606E">
        <w:t xml:space="preserve">Street </w:t>
      </w:r>
      <w:r w:rsidR="0014606E" w:rsidRPr="00DF6ED9">
        <w:t>will</w:t>
      </w:r>
      <w:r w:rsidRPr="00DF6ED9">
        <w:t xml:space="preserve"> be advertised </w:t>
      </w:r>
      <w:r w:rsidR="00EA31A1" w:rsidRPr="00DF6ED9">
        <w:t>shortly.</w:t>
      </w:r>
    </w:p>
    <w:p w14:paraId="7595ED91" w14:textId="4DBD54F6" w:rsidR="00174141" w:rsidRDefault="00174141" w:rsidP="00F62B7C">
      <w:pPr>
        <w:pStyle w:val="ListParagraph"/>
        <w:numPr>
          <w:ilvl w:val="0"/>
          <w:numId w:val="6"/>
        </w:numPr>
        <w:spacing w:after="0"/>
      </w:pPr>
      <w:r>
        <w:t xml:space="preserve">Overall, the demand for street trading sites continues to exceed the number of suitable sites available. </w:t>
      </w:r>
    </w:p>
    <w:p w14:paraId="0F188BC4" w14:textId="77777777" w:rsidR="001D5410" w:rsidRPr="001D5410" w:rsidRDefault="001D5410" w:rsidP="001D5410">
      <w:pPr>
        <w:spacing w:after="0"/>
        <w:rPr>
          <w:b/>
        </w:rPr>
      </w:pPr>
    </w:p>
    <w:p w14:paraId="6163683E" w14:textId="77777777" w:rsidR="003D3E12" w:rsidRPr="00174141" w:rsidRDefault="003D3E12" w:rsidP="004A6D2F">
      <w:pPr>
        <w:rPr>
          <w:b/>
        </w:rPr>
      </w:pPr>
      <w:r w:rsidRPr="00174141">
        <w:rPr>
          <w:b/>
        </w:rPr>
        <w:t>Finance Issues</w:t>
      </w:r>
    </w:p>
    <w:p w14:paraId="58B014CF" w14:textId="2EAC0586" w:rsidR="00181BA7" w:rsidRPr="0046758E" w:rsidRDefault="005F00B5" w:rsidP="0046758E">
      <w:pPr>
        <w:pStyle w:val="ListParagraph"/>
        <w:numPr>
          <w:ilvl w:val="0"/>
          <w:numId w:val="6"/>
        </w:numPr>
      </w:pPr>
      <w:r>
        <w:t xml:space="preserve">The </w:t>
      </w:r>
      <w:r w:rsidRPr="005F00B5">
        <w:t xml:space="preserve">Fees &amp; Charges </w:t>
      </w:r>
      <w:r>
        <w:t>scheme recommended to Budget Council</w:t>
      </w:r>
      <w:r w:rsidR="0046758E" w:rsidRPr="0046758E">
        <w:t xml:space="preserve"> </w:t>
      </w:r>
      <w:r w:rsidR="0046758E">
        <w:t>by the Committee</w:t>
      </w:r>
      <w:r>
        <w:t>, came into effect on 1</w:t>
      </w:r>
      <w:r w:rsidRPr="0046758E">
        <w:rPr>
          <w:vertAlign w:val="superscript"/>
        </w:rPr>
        <w:t>st</w:t>
      </w:r>
      <w:r>
        <w:t xml:space="preserve"> April 2024. </w:t>
      </w:r>
      <w:r w:rsidR="00691896">
        <w:t>Th</w:t>
      </w:r>
      <w:r w:rsidR="0046758E">
        <w:t>is includes the</w:t>
      </w:r>
      <w:r w:rsidR="00691896">
        <w:t xml:space="preserve"> </w:t>
      </w:r>
      <w:r w:rsidR="0046758E">
        <w:t xml:space="preserve">scheme </w:t>
      </w:r>
      <w:r w:rsidR="00691896">
        <w:t xml:space="preserve">provisions for </w:t>
      </w:r>
      <w:r w:rsidR="0046758E" w:rsidRPr="0046758E">
        <w:t xml:space="preserve">the new maximum </w:t>
      </w:r>
      <w:r w:rsidR="0046758E">
        <w:t xml:space="preserve">pavement licence </w:t>
      </w:r>
      <w:r w:rsidR="0046758E" w:rsidRPr="0046758E">
        <w:t>fees allowed under the 2023 Act</w:t>
      </w:r>
      <w:r w:rsidR="0046758E">
        <w:t>.</w:t>
      </w:r>
      <w:r w:rsidR="0046758E" w:rsidRPr="0046758E">
        <w:t xml:space="preserve">  </w:t>
      </w:r>
    </w:p>
    <w:p w14:paraId="0F731B19" w14:textId="0A01DFCF" w:rsidR="001D5410" w:rsidRPr="00EA31A1" w:rsidRDefault="00EA31A1" w:rsidP="003921B6">
      <w:pPr>
        <w:tabs>
          <w:tab w:val="num" w:pos="851"/>
        </w:tabs>
        <w:ind w:left="720" w:hanging="720"/>
        <w:rPr>
          <w:b/>
          <w:bCs/>
        </w:rPr>
      </w:pPr>
      <w:r w:rsidRPr="00EA31A1">
        <w:rPr>
          <w:b/>
          <w:bCs/>
        </w:rPr>
        <w:t>Legal Issues</w:t>
      </w:r>
    </w:p>
    <w:p w14:paraId="04F3B77C" w14:textId="28A58918" w:rsidR="00EA31A1" w:rsidRDefault="00EA31A1" w:rsidP="0088158B">
      <w:pPr>
        <w:pStyle w:val="ListParagraph"/>
        <w:numPr>
          <w:ilvl w:val="0"/>
          <w:numId w:val="6"/>
        </w:numPr>
      </w:pPr>
      <w:r>
        <w:t xml:space="preserve">The enforcement of legal requirements made under national legislation is subject to the Council’s Corporate Enforcement Policy. </w:t>
      </w:r>
      <w:r w:rsidR="00F84BE7">
        <w:t xml:space="preserve">Licensing </w:t>
      </w:r>
      <w:r>
        <w:t xml:space="preserve">officers have regard to </w:t>
      </w:r>
      <w:r w:rsidR="00F84BE7">
        <w:t xml:space="preserve">this </w:t>
      </w:r>
      <w:r>
        <w:t xml:space="preserve">Policy for example in using education, encouragement, and enforcement to uphold </w:t>
      </w:r>
      <w:r w:rsidR="00F84BE7">
        <w:t xml:space="preserve">statutory requirements </w:t>
      </w:r>
      <w:r>
        <w:t xml:space="preserve">and </w:t>
      </w:r>
      <w:r w:rsidR="00F84BE7">
        <w:t xml:space="preserve">encourage </w:t>
      </w:r>
      <w:r>
        <w:t>good practice.</w:t>
      </w:r>
    </w:p>
    <w:p w14:paraId="7EE28CCD" w14:textId="77777777" w:rsidR="001E2706" w:rsidRPr="001E2706" w:rsidRDefault="001E2706" w:rsidP="001E2706">
      <w:pPr>
        <w:rPr>
          <w:b/>
        </w:rPr>
      </w:pPr>
      <w:r w:rsidRPr="001E2706">
        <w:rPr>
          <w:b/>
        </w:rPr>
        <w:t>Equality impact</w:t>
      </w:r>
    </w:p>
    <w:p w14:paraId="56067B34" w14:textId="77777777" w:rsidR="001E2706" w:rsidRDefault="001E2706" w:rsidP="0088158B">
      <w:pPr>
        <w:pStyle w:val="ListParagraph"/>
        <w:numPr>
          <w:ilvl w:val="0"/>
          <w:numId w:val="6"/>
        </w:numPr>
      </w:pPr>
      <w:r w:rsidRPr="001E2706">
        <w:t>There are no adverse impacts anticipated on anyone with protected characteristics.</w:t>
      </w:r>
    </w:p>
    <w:p w14:paraId="0364FE05" w14:textId="7B794DA9" w:rsidR="001E2706" w:rsidRPr="00174141" w:rsidRDefault="001E2706" w:rsidP="001E2706">
      <w:pPr>
        <w:rPr>
          <w:b/>
        </w:rPr>
      </w:pPr>
      <w:r w:rsidRPr="00174141">
        <w:rPr>
          <w:b/>
        </w:rPr>
        <w:t>Environmental implications</w:t>
      </w:r>
    </w:p>
    <w:p w14:paraId="76F871F0" w14:textId="0F6BACB6" w:rsidR="001E2706" w:rsidRPr="00174141" w:rsidRDefault="001E2706" w:rsidP="0088158B">
      <w:pPr>
        <w:pStyle w:val="ListParagraph"/>
        <w:numPr>
          <w:ilvl w:val="0"/>
          <w:numId w:val="6"/>
        </w:numPr>
      </w:pPr>
      <w:r w:rsidRPr="00174141">
        <w:t xml:space="preserve">There are </w:t>
      </w:r>
      <w:r w:rsidR="00174141" w:rsidRPr="00174141">
        <w:t>no</w:t>
      </w:r>
      <w:r w:rsidRPr="00174141">
        <w:t xml:space="preserve"> environmental considerations arising directly from this report </w:t>
      </w:r>
      <w:r w:rsidR="00174141" w:rsidRPr="00174141">
        <w:t xml:space="preserve">overall. Though environmental impact </w:t>
      </w:r>
      <w:r w:rsidRPr="00174141">
        <w:t xml:space="preserve">and </w:t>
      </w:r>
      <w:r w:rsidR="00174141" w:rsidRPr="00174141">
        <w:t>preventive measures form part of the Council’s Street Trading Policy 2023.</w:t>
      </w:r>
    </w:p>
    <w:p w14:paraId="2FB44464" w14:textId="77777777" w:rsidR="001E2706" w:rsidRDefault="001E2706" w:rsidP="001E2706"/>
    <w:p w14:paraId="2EB26A2A" w14:textId="77777777" w:rsidR="00EA31A1" w:rsidRDefault="00EA31A1" w:rsidP="00EA31A1">
      <w:pPr>
        <w:tabs>
          <w:tab w:val="num" w:pos="851"/>
        </w:tabs>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01"/>
        <w:gridCol w:w="5269"/>
      </w:tblGrid>
      <w:tr w:rsidR="00DF093E" w:rsidRPr="001356F1" w14:paraId="6D221003" w14:textId="77777777" w:rsidTr="000F3FAF">
        <w:trPr>
          <w:cantSplit/>
          <w:trHeight w:val="396"/>
        </w:trPr>
        <w:tc>
          <w:tcPr>
            <w:tcW w:w="3901" w:type="dxa"/>
            <w:tcBorders>
              <w:top w:val="single" w:sz="8" w:space="0" w:color="000000"/>
              <w:left w:val="single" w:sz="8" w:space="0" w:color="000000"/>
              <w:bottom w:val="single" w:sz="8" w:space="0" w:color="000000"/>
              <w:right w:val="nil"/>
            </w:tcBorders>
            <w:shd w:val="clear" w:color="auto" w:fill="auto"/>
          </w:tcPr>
          <w:p w14:paraId="2F217426" w14:textId="77777777" w:rsidR="00E87F7A" w:rsidRPr="001356F1" w:rsidRDefault="00E87F7A" w:rsidP="00A46E98">
            <w:pPr>
              <w:rPr>
                <w:b/>
              </w:rPr>
            </w:pPr>
            <w:r w:rsidRPr="001356F1">
              <w:rPr>
                <w:b/>
              </w:rPr>
              <w:lastRenderedPageBreak/>
              <w:t>Report author</w:t>
            </w:r>
          </w:p>
        </w:tc>
        <w:tc>
          <w:tcPr>
            <w:tcW w:w="5269" w:type="dxa"/>
            <w:tcBorders>
              <w:top w:val="single" w:sz="8" w:space="0" w:color="000000"/>
              <w:left w:val="nil"/>
              <w:bottom w:val="single" w:sz="8" w:space="0" w:color="000000"/>
              <w:right w:val="single" w:sz="8" w:space="0" w:color="000000"/>
            </w:tcBorders>
            <w:shd w:val="clear" w:color="auto" w:fill="auto"/>
          </w:tcPr>
          <w:p w14:paraId="31719306" w14:textId="77777777" w:rsidR="00E87F7A" w:rsidRPr="000D6E28" w:rsidRDefault="00CA26EE" w:rsidP="00A46E98">
            <w:pPr>
              <w:rPr>
                <w:b/>
              </w:rPr>
            </w:pPr>
            <w:r>
              <w:rPr>
                <w:b/>
              </w:rPr>
              <w:t>David Stevens</w:t>
            </w:r>
          </w:p>
        </w:tc>
      </w:tr>
      <w:tr w:rsidR="00DF093E" w:rsidRPr="001356F1" w14:paraId="16F19852" w14:textId="77777777" w:rsidTr="000F3FAF">
        <w:trPr>
          <w:cantSplit/>
          <w:trHeight w:val="396"/>
        </w:trPr>
        <w:tc>
          <w:tcPr>
            <w:tcW w:w="3901" w:type="dxa"/>
            <w:tcBorders>
              <w:top w:val="single" w:sz="8" w:space="0" w:color="000000"/>
              <w:left w:val="single" w:sz="8" w:space="0" w:color="000000"/>
              <w:bottom w:val="nil"/>
              <w:right w:val="nil"/>
            </w:tcBorders>
            <w:shd w:val="clear" w:color="auto" w:fill="auto"/>
          </w:tcPr>
          <w:p w14:paraId="4ECD4431" w14:textId="77777777" w:rsidR="00E87F7A" w:rsidRPr="001356F1" w:rsidRDefault="00E87F7A" w:rsidP="00A46E98"/>
        </w:tc>
        <w:tc>
          <w:tcPr>
            <w:tcW w:w="5269" w:type="dxa"/>
            <w:tcBorders>
              <w:top w:val="single" w:sz="8" w:space="0" w:color="000000"/>
              <w:left w:val="nil"/>
              <w:bottom w:val="nil"/>
              <w:right w:val="single" w:sz="8" w:space="0" w:color="000000"/>
            </w:tcBorders>
            <w:shd w:val="clear" w:color="auto" w:fill="auto"/>
          </w:tcPr>
          <w:p w14:paraId="374CEB5F" w14:textId="77777777" w:rsidR="00D32A2D" w:rsidRDefault="00D32A2D" w:rsidP="00CA26EE">
            <w:pPr>
              <w:rPr>
                <w:b/>
              </w:rPr>
            </w:pPr>
            <w:r>
              <w:rPr>
                <w:b/>
              </w:rPr>
              <w:t>Principal Lead Officer</w:t>
            </w:r>
          </w:p>
          <w:p w14:paraId="33BDE471" w14:textId="0D182014" w:rsidR="00E87F7A" w:rsidRPr="000D6E28" w:rsidRDefault="00CA26EE" w:rsidP="00D32A2D">
            <w:pPr>
              <w:rPr>
                <w:b/>
              </w:rPr>
            </w:pPr>
            <w:r>
              <w:rPr>
                <w:b/>
              </w:rPr>
              <w:t>Business Regulation</w:t>
            </w:r>
            <w:r w:rsidR="000D6E28" w:rsidRPr="000D6E28">
              <w:rPr>
                <w:b/>
              </w:rPr>
              <w:t xml:space="preserve"> Team </w:t>
            </w:r>
          </w:p>
        </w:tc>
      </w:tr>
      <w:tr w:rsidR="00DF093E" w:rsidRPr="001356F1" w14:paraId="42344FAF" w14:textId="77777777" w:rsidTr="000F3FAF">
        <w:trPr>
          <w:cantSplit/>
          <w:trHeight w:val="396"/>
        </w:trPr>
        <w:tc>
          <w:tcPr>
            <w:tcW w:w="3901" w:type="dxa"/>
            <w:tcBorders>
              <w:top w:val="nil"/>
              <w:left w:val="single" w:sz="8" w:space="0" w:color="000000"/>
              <w:bottom w:val="nil"/>
              <w:right w:val="nil"/>
            </w:tcBorders>
            <w:shd w:val="clear" w:color="auto" w:fill="auto"/>
          </w:tcPr>
          <w:p w14:paraId="4D6D5063" w14:textId="1CEE5F06" w:rsidR="00E87F7A" w:rsidRPr="001356F1" w:rsidRDefault="00E87F7A" w:rsidP="00A46E98"/>
        </w:tc>
        <w:tc>
          <w:tcPr>
            <w:tcW w:w="5269" w:type="dxa"/>
            <w:tcBorders>
              <w:top w:val="nil"/>
              <w:left w:val="nil"/>
              <w:bottom w:val="nil"/>
              <w:right w:val="single" w:sz="8" w:space="0" w:color="000000"/>
            </w:tcBorders>
            <w:shd w:val="clear" w:color="auto" w:fill="auto"/>
          </w:tcPr>
          <w:p w14:paraId="75B1D48E" w14:textId="4DB457E4" w:rsidR="00E87F7A" w:rsidRPr="000D6E28" w:rsidRDefault="00F62B7C" w:rsidP="00A46E98">
            <w:pPr>
              <w:rPr>
                <w:b/>
              </w:rPr>
            </w:pPr>
            <w:r>
              <w:rPr>
                <w:b/>
              </w:rPr>
              <w:t xml:space="preserve">Planning and </w:t>
            </w:r>
            <w:r w:rsidR="00552997">
              <w:rPr>
                <w:b/>
              </w:rPr>
              <w:t xml:space="preserve">Regulatory Services </w:t>
            </w:r>
          </w:p>
        </w:tc>
      </w:tr>
      <w:tr w:rsidR="005570B5" w:rsidRPr="001356F1" w14:paraId="47AA7A51" w14:textId="77777777" w:rsidTr="000F3FAF">
        <w:trPr>
          <w:cantSplit/>
          <w:trHeight w:val="396"/>
        </w:trPr>
        <w:tc>
          <w:tcPr>
            <w:tcW w:w="3901" w:type="dxa"/>
            <w:tcBorders>
              <w:top w:val="nil"/>
              <w:left w:val="single" w:sz="8" w:space="0" w:color="000000"/>
              <w:bottom w:val="single" w:sz="8" w:space="0" w:color="000000"/>
              <w:right w:val="nil"/>
            </w:tcBorders>
            <w:shd w:val="clear" w:color="auto" w:fill="auto"/>
          </w:tcPr>
          <w:p w14:paraId="61C243BE" w14:textId="77777777" w:rsidR="00E87F7A" w:rsidRPr="001356F1" w:rsidRDefault="00E87F7A" w:rsidP="00A46E98"/>
        </w:tc>
        <w:tc>
          <w:tcPr>
            <w:tcW w:w="5269" w:type="dxa"/>
            <w:tcBorders>
              <w:top w:val="nil"/>
              <w:left w:val="nil"/>
              <w:bottom w:val="single" w:sz="8" w:space="0" w:color="000000"/>
              <w:right w:val="single" w:sz="8" w:space="0" w:color="000000"/>
            </w:tcBorders>
            <w:shd w:val="clear" w:color="auto" w:fill="auto"/>
          </w:tcPr>
          <w:p w14:paraId="74ADB94B" w14:textId="77777777" w:rsidR="00CA26EE" w:rsidRPr="001356F1" w:rsidRDefault="00B20356" w:rsidP="00CA26EE">
            <w:pPr>
              <w:rPr>
                <w:rStyle w:val="Hyperlink"/>
                <w:color w:val="000000"/>
              </w:rPr>
            </w:pPr>
            <w:hyperlink r:id="rId8" w:history="1">
              <w:r w:rsidR="00CA26EE" w:rsidRPr="00861CD8">
                <w:rPr>
                  <w:rStyle w:val="Hyperlink"/>
                </w:rPr>
                <w:t>dstevens@oxford.gov.uk</w:t>
              </w:r>
            </w:hyperlink>
          </w:p>
        </w:tc>
      </w:tr>
    </w:tbl>
    <w:p w14:paraId="1391CA49" w14:textId="77777777" w:rsidR="00B66086" w:rsidRDefault="00B66086" w:rsidP="0093067A">
      <w:pPr>
        <w:sectPr w:rsidR="00B66086" w:rsidSect="001D58AF">
          <w:footerReference w:type="even" r:id="rId9"/>
          <w:headerReference w:type="first" r:id="rId10"/>
          <w:footerReference w:type="first" r:id="rId11"/>
          <w:pgSz w:w="11906" w:h="16838" w:code="9"/>
          <w:pgMar w:top="993" w:right="1304" w:bottom="993" w:left="1304" w:header="1134" w:footer="680" w:gutter="0"/>
          <w:cols w:space="708"/>
          <w:titlePg/>
          <w:docGrid w:linePitch="360"/>
        </w:sectPr>
      </w:pPr>
    </w:p>
    <w:p w14:paraId="722349DE" w14:textId="6E3CDE1C" w:rsidR="00A4626B" w:rsidRPr="00B66086" w:rsidRDefault="00B66086" w:rsidP="0093067A">
      <w:pPr>
        <w:rPr>
          <w:b/>
          <w:bCs/>
        </w:rPr>
      </w:pPr>
      <w:r w:rsidRPr="00B66086">
        <w:rPr>
          <w:b/>
          <w:bCs/>
        </w:rPr>
        <w:lastRenderedPageBreak/>
        <w:t>APPENDIX A</w:t>
      </w:r>
    </w:p>
    <w:p w14:paraId="690F6AF6" w14:textId="77777777" w:rsidR="00B66086" w:rsidRPr="00912BB8" w:rsidRDefault="00B66086" w:rsidP="00B66086">
      <w:pPr>
        <w:pStyle w:val="ListParagraph"/>
        <w:numPr>
          <w:ilvl w:val="0"/>
          <w:numId w:val="11"/>
        </w:numPr>
        <w:tabs>
          <w:tab w:val="clear" w:pos="426"/>
        </w:tabs>
        <w:spacing w:after="0"/>
        <w:rPr>
          <w:rFonts w:ascii="Calibri" w:hAnsi="Calibri" w:cs="Calibri"/>
          <w:color w:val="auto"/>
        </w:rPr>
      </w:pPr>
      <w:r w:rsidRPr="00912BB8">
        <w:rPr>
          <w:rFonts w:ascii="Calibri" w:hAnsi="Calibri" w:cs="Calibri"/>
        </w:rPr>
        <w:t>On 31 March 2024, the pavement licensing provisions laid out in the Levelling Up and Regeneration Act 2023 (LURA 2023) amended the temporary provisions introduced by the Business and Planning Act 2020 (BPA 2020). The new and amended provisions introduce a permanent pavement licensing regime in England, which retains the key features of the 2020 regime (which was intended to streamline processing and reduce costs) but also incorporates some changes, “</w:t>
      </w:r>
      <w:r w:rsidRPr="00912BB8">
        <w:rPr>
          <w:rFonts w:ascii="Calibri" w:hAnsi="Calibri" w:cs="Calibri"/>
          <w:i/>
          <w:iCs/>
        </w:rPr>
        <w:t>to ensure the long-term sustainability of the pavement licensing model</w:t>
      </w:r>
      <w:r w:rsidRPr="00912BB8">
        <w:rPr>
          <w:rFonts w:ascii="Calibri" w:hAnsi="Calibri" w:cs="Calibri"/>
        </w:rPr>
        <w:t>.”</w:t>
      </w:r>
    </w:p>
    <w:p w14:paraId="31892E8D" w14:textId="77777777" w:rsidR="00B66086" w:rsidRPr="00912BB8" w:rsidRDefault="00B66086" w:rsidP="00B66086">
      <w:pPr>
        <w:spacing w:after="0"/>
        <w:rPr>
          <w:rFonts w:ascii="Calibri" w:hAnsi="Calibri" w:cs="Calibri"/>
          <w:color w:val="auto"/>
        </w:rPr>
      </w:pPr>
    </w:p>
    <w:p w14:paraId="0F87602C" w14:textId="0DF04864" w:rsidR="00B66086" w:rsidRPr="00912BB8" w:rsidRDefault="00B66086" w:rsidP="00B66086">
      <w:pPr>
        <w:pStyle w:val="ListParagraph"/>
        <w:numPr>
          <w:ilvl w:val="0"/>
          <w:numId w:val="11"/>
        </w:numPr>
        <w:tabs>
          <w:tab w:val="clear" w:pos="426"/>
        </w:tabs>
        <w:spacing w:after="0"/>
        <w:rPr>
          <w:rFonts w:ascii="Calibri" w:hAnsi="Calibri" w:cs="Calibri"/>
        </w:rPr>
      </w:pPr>
      <w:r w:rsidRPr="00912BB8">
        <w:rPr>
          <w:rFonts w:ascii="Calibri" w:hAnsi="Calibri" w:cs="Calibri"/>
        </w:rPr>
        <w:t xml:space="preserve">Section 229 and Schedule 22 of the LURA 2023 contain amendments to Part 1, Section 1 of BPA 2020, thereby creating a permanent and slightly varied pavement licensing regime. These changes are brought about by </w:t>
      </w:r>
      <w:hyperlink r:id="rId12" w:history="1">
        <w:r w:rsidRPr="00912BB8">
          <w:rPr>
            <w:rStyle w:val="Hyperlink"/>
            <w:rFonts w:ascii="Calibri" w:hAnsi="Calibri" w:cs="Calibri"/>
          </w:rPr>
          <w:t>The Levelling-up and Regeneration Act 2023 (Commencement No. 3 and Transitional and Savings Provision) Regulations 2024</w:t>
        </w:r>
      </w:hyperlink>
    </w:p>
    <w:p w14:paraId="1E249599" w14:textId="77777777" w:rsidR="00B66086" w:rsidRPr="00912BB8" w:rsidRDefault="00B66086" w:rsidP="00B66086">
      <w:pPr>
        <w:spacing w:after="0"/>
        <w:rPr>
          <w:rFonts w:ascii="Calibri" w:hAnsi="Calibri" w:cs="Calibri"/>
        </w:rPr>
      </w:pPr>
    </w:p>
    <w:p w14:paraId="578134AD" w14:textId="77777777" w:rsidR="00B66086" w:rsidRPr="00912BB8" w:rsidRDefault="00B66086" w:rsidP="00B66086">
      <w:pPr>
        <w:pStyle w:val="ListParagraph"/>
        <w:numPr>
          <w:ilvl w:val="0"/>
          <w:numId w:val="11"/>
        </w:numPr>
        <w:tabs>
          <w:tab w:val="clear" w:pos="426"/>
        </w:tabs>
        <w:spacing w:after="0"/>
        <w:rPr>
          <w:rFonts w:ascii="Calibri" w:hAnsi="Calibri" w:cs="Calibri"/>
        </w:rPr>
      </w:pPr>
      <w:r w:rsidRPr="00912BB8">
        <w:rPr>
          <w:rFonts w:ascii="Calibri" w:hAnsi="Calibri" w:cs="Calibri"/>
        </w:rPr>
        <w:t xml:space="preserve">The key changes </w:t>
      </w:r>
    </w:p>
    <w:p w14:paraId="12CEAFA3" w14:textId="476D3CD7" w:rsidR="00B66086" w:rsidRPr="00912BB8" w:rsidRDefault="00B66086" w:rsidP="00B66086">
      <w:pPr>
        <w:pStyle w:val="ListParagraph"/>
        <w:numPr>
          <w:ilvl w:val="1"/>
          <w:numId w:val="11"/>
        </w:numPr>
        <w:tabs>
          <w:tab w:val="clear" w:pos="426"/>
        </w:tabs>
        <w:spacing w:after="0"/>
        <w:rPr>
          <w:rFonts w:ascii="Calibri" w:hAnsi="Calibri" w:cs="Calibri"/>
        </w:rPr>
      </w:pPr>
      <w:r w:rsidRPr="00912BB8">
        <w:rPr>
          <w:rFonts w:ascii="Calibri" w:hAnsi="Calibri" w:cs="Calibri"/>
        </w:rPr>
        <w:t xml:space="preserve">The application fee </w:t>
      </w:r>
      <w:r w:rsidR="00912BB8">
        <w:rPr>
          <w:rFonts w:ascii="Calibri" w:hAnsi="Calibri" w:cs="Calibri"/>
        </w:rPr>
        <w:t>is</w:t>
      </w:r>
      <w:r w:rsidRPr="00912BB8">
        <w:rPr>
          <w:rFonts w:ascii="Calibri" w:hAnsi="Calibri" w:cs="Calibri"/>
        </w:rPr>
        <w:t xml:space="preserve"> no longer capped at £100 but instead </w:t>
      </w:r>
      <w:r w:rsidR="00912BB8">
        <w:rPr>
          <w:rFonts w:ascii="Calibri" w:hAnsi="Calibri" w:cs="Calibri"/>
        </w:rPr>
        <w:t>but</w:t>
      </w:r>
      <w:r w:rsidRPr="00912BB8">
        <w:rPr>
          <w:rFonts w:ascii="Calibri" w:hAnsi="Calibri" w:cs="Calibri"/>
        </w:rPr>
        <w:t xml:space="preserve"> at £500 for first time applications and £350 for renewal applications, subject to each local authority deciding the level of fee up to the cap.</w:t>
      </w:r>
    </w:p>
    <w:p w14:paraId="1E34AB14" w14:textId="152654EC" w:rsidR="00B66086" w:rsidRPr="00912BB8" w:rsidRDefault="00912BB8" w:rsidP="00B66086">
      <w:pPr>
        <w:pStyle w:val="ListParagraph"/>
        <w:numPr>
          <w:ilvl w:val="1"/>
          <w:numId w:val="11"/>
        </w:numPr>
        <w:tabs>
          <w:tab w:val="clear" w:pos="426"/>
        </w:tabs>
        <w:spacing w:after="0"/>
        <w:rPr>
          <w:rFonts w:ascii="Calibri" w:hAnsi="Calibri" w:cs="Calibri"/>
        </w:rPr>
      </w:pPr>
      <w:r>
        <w:rPr>
          <w:rFonts w:ascii="Calibri" w:hAnsi="Calibri" w:cs="Calibri"/>
        </w:rPr>
        <w:t>L</w:t>
      </w:r>
      <w:r w:rsidR="00B66086" w:rsidRPr="00912BB8">
        <w:rPr>
          <w:rFonts w:ascii="Calibri" w:hAnsi="Calibri" w:cs="Calibri"/>
        </w:rPr>
        <w:t xml:space="preserve">ocal authorities </w:t>
      </w:r>
      <w:r>
        <w:rPr>
          <w:rFonts w:ascii="Calibri" w:hAnsi="Calibri" w:cs="Calibri"/>
        </w:rPr>
        <w:t>may now</w:t>
      </w:r>
      <w:r w:rsidR="00B66086" w:rsidRPr="00912BB8">
        <w:rPr>
          <w:rFonts w:ascii="Calibri" w:hAnsi="Calibri" w:cs="Calibri"/>
        </w:rPr>
        <w:t xml:space="preserve"> grant pavement licences for a length of their choosing up to a maximum of two years.</w:t>
      </w:r>
    </w:p>
    <w:p w14:paraId="6593CDD8" w14:textId="190F532D" w:rsidR="00B66086" w:rsidRPr="00912BB8" w:rsidRDefault="00B66086" w:rsidP="00B66086">
      <w:pPr>
        <w:pStyle w:val="ListParagraph"/>
        <w:numPr>
          <w:ilvl w:val="1"/>
          <w:numId w:val="11"/>
        </w:numPr>
        <w:tabs>
          <w:tab w:val="clear" w:pos="426"/>
        </w:tabs>
        <w:spacing w:after="0"/>
        <w:rPr>
          <w:rFonts w:ascii="Calibri" w:hAnsi="Calibri" w:cs="Calibri"/>
        </w:rPr>
      </w:pPr>
      <w:r w:rsidRPr="00912BB8">
        <w:rPr>
          <w:rFonts w:ascii="Calibri" w:hAnsi="Calibri" w:cs="Calibri"/>
        </w:rPr>
        <w:t xml:space="preserve">The 7-day consultation and 7-day determination periods provided under the temporary regime, </w:t>
      </w:r>
      <w:r w:rsidR="00912BB8">
        <w:rPr>
          <w:rFonts w:ascii="Calibri" w:hAnsi="Calibri" w:cs="Calibri"/>
        </w:rPr>
        <w:t>are now</w:t>
      </w:r>
      <w:r w:rsidRPr="00912BB8">
        <w:rPr>
          <w:rFonts w:ascii="Calibri" w:hAnsi="Calibri" w:cs="Calibri"/>
        </w:rPr>
        <w:t xml:space="preserve"> extended to 14 days for each.</w:t>
      </w:r>
    </w:p>
    <w:p w14:paraId="724CBE6B" w14:textId="77777777" w:rsidR="00B66086" w:rsidRPr="00912BB8" w:rsidRDefault="00B66086" w:rsidP="00B66086">
      <w:pPr>
        <w:pStyle w:val="ListParagraph"/>
        <w:numPr>
          <w:ilvl w:val="1"/>
          <w:numId w:val="11"/>
        </w:numPr>
        <w:tabs>
          <w:tab w:val="clear" w:pos="426"/>
        </w:tabs>
        <w:spacing w:after="0"/>
        <w:rPr>
          <w:rFonts w:ascii="Calibri" w:hAnsi="Calibri" w:cs="Calibri"/>
        </w:rPr>
      </w:pPr>
      <w:r w:rsidRPr="00912BB8">
        <w:rPr>
          <w:rFonts w:ascii="Calibri" w:hAnsi="Calibri" w:cs="Calibri"/>
        </w:rPr>
        <w:t>Local authorities will now, with the consent of the licence-holder, be able to amend the licence in certain circumstances.</w:t>
      </w:r>
    </w:p>
    <w:p w14:paraId="0531FEBE" w14:textId="271F3998" w:rsidR="00B66086" w:rsidRPr="00912BB8" w:rsidRDefault="00B66086" w:rsidP="00B66086">
      <w:pPr>
        <w:pStyle w:val="ListParagraph"/>
        <w:numPr>
          <w:ilvl w:val="1"/>
          <w:numId w:val="11"/>
        </w:numPr>
        <w:tabs>
          <w:tab w:val="clear" w:pos="426"/>
        </w:tabs>
        <w:spacing w:after="0"/>
        <w:rPr>
          <w:rFonts w:ascii="Calibri" w:hAnsi="Calibri" w:cs="Calibri"/>
        </w:rPr>
      </w:pPr>
      <w:r w:rsidRPr="00912BB8">
        <w:rPr>
          <w:rFonts w:ascii="Calibri" w:hAnsi="Calibri" w:cs="Calibri"/>
        </w:rPr>
        <w:t xml:space="preserve">Local authorities </w:t>
      </w:r>
      <w:r w:rsidR="00912BB8">
        <w:rPr>
          <w:rFonts w:ascii="Calibri" w:hAnsi="Calibri" w:cs="Calibri"/>
        </w:rPr>
        <w:t xml:space="preserve">are now </w:t>
      </w:r>
      <w:r w:rsidRPr="00912BB8">
        <w:rPr>
          <w:rFonts w:ascii="Calibri" w:hAnsi="Calibri" w:cs="Calibri"/>
        </w:rPr>
        <w:t xml:space="preserve">able </w:t>
      </w:r>
      <w:r w:rsidRPr="0088158B">
        <w:rPr>
          <w:rFonts w:ascii="Calibri" w:hAnsi="Calibri" w:cs="Calibri"/>
        </w:rPr>
        <w:t xml:space="preserve">to </w:t>
      </w:r>
      <w:r w:rsidR="00912BB8" w:rsidRPr="0088158B">
        <w:rPr>
          <w:rFonts w:ascii="Calibri" w:hAnsi="Calibri" w:cs="Calibri"/>
        </w:rPr>
        <w:t>serve</w:t>
      </w:r>
      <w:r w:rsidRPr="0088158B">
        <w:rPr>
          <w:rFonts w:ascii="Calibri" w:hAnsi="Calibri" w:cs="Calibri"/>
        </w:rPr>
        <w:t xml:space="preserve"> notice</w:t>
      </w:r>
      <w:r w:rsidRPr="00912BB8">
        <w:rPr>
          <w:rFonts w:ascii="Calibri" w:hAnsi="Calibri" w:cs="Calibri"/>
        </w:rPr>
        <w:t xml:space="preserve"> </w:t>
      </w:r>
      <w:r w:rsidR="00912BB8">
        <w:rPr>
          <w:rFonts w:ascii="Calibri" w:hAnsi="Calibri" w:cs="Calibri"/>
        </w:rPr>
        <w:t>on</w:t>
      </w:r>
      <w:r w:rsidRPr="00912BB8">
        <w:rPr>
          <w:rFonts w:ascii="Calibri" w:hAnsi="Calibri" w:cs="Calibri"/>
        </w:rPr>
        <w:t xml:space="preserve"> businesses who have placed furniture on the relevant highway without the required licence. If furniture continues to be placed on the highway, in contravention of the notice, the authority may remove and store the furniture, recover the costs from the business for the removal and storage of the furniture, and refuse to return the furniture until those costs have been paid. If within three months of the notice being served, the costs are not paid, the authority can dispose of the furniture by sale or other means and retain the proceeds.</w:t>
      </w:r>
    </w:p>
    <w:p w14:paraId="6A0679D7" w14:textId="3B5FAD6E" w:rsidR="00B66086" w:rsidRDefault="00B66086" w:rsidP="00B66086">
      <w:pPr>
        <w:pStyle w:val="ListParagraph"/>
        <w:numPr>
          <w:ilvl w:val="1"/>
          <w:numId w:val="11"/>
        </w:numPr>
        <w:tabs>
          <w:tab w:val="clear" w:pos="426"/>
        </w:tabs>
        <w:spacing w:after="0"/>
        <w:rPr>
          <w:rFonts w:ascii="Calibri" w:hAnsi="Calibri" w:cs="Calibri"/>
        </w:rPr>
      </w:pPr>
      <w:r w:rsidRPr="00912BB8">
        <w:rPr>
          <w:rFonts w:ascii="Calibri" w:hAnsi="Calibri" w:cs="Calibri"/>
        </w:rPr>
        <w:t xml:space="preserve">Any licence application for activities in England licensable under pavement licensing legislation in the Business and Planning Act 2020 must </w:t>
      </w:r>
      <w:r w:rsidR="00912BB8" w:rsidRPr="00912BB8">
        <w:rPr>
          <w:rFonts w:ascii="Calibri" w:hAnsi="Calibri" w:cs="Calibri"/>
        </w:rPr>
        <w:t xml:space="preserve">now </w:t>
      </w:r>
      <w:r w:rsidRPr="00912BB8">
        <w:rPr>
          <w:rFonts w:ascii="Calibri" w:hAnsi="Calibri" w:cs="Calibri"/>
        </w:rPr>
        <w:t>be granted under th</w:t>
      </w:r>
      <w:r w:rsidR="0088158B">
        <w:rPr>
          <w:rFonts w:ascii="Calibri" w:hAnsi="Calibri" w:cs="Calibri"/>
        </w:rPr>
        <w:t>at Act</w:t>
      </w:r>
      <w:r w:rsidRPr="00912BB8">
        <w:rPr>
          <w:rFonts w:ascii="Calibri" w:hAnsi="Calibri" w:cs="Calibri"/>
        </w:rPr>
        <w:t xml:space="preserve"> (as amended by section 229 of and schedule 22 to the Levelling Up and Regeneration Act).</w:t>
      </w:r>
      <w:r w:rsidR="0088158B">
        <w:rPr>
          <w:rFonts w:ascii="Calibri" w:hAnsi="Calibri" w:cs="Calibri"/>
        </w:rPr>
        <w:t xml:space="preserve"> It</w:t>
      </w:r>
      <w:r w:rsidR="0088158B" w:rsidRPr="00912BB8">
        <w:rPr>
          <w:rFonts w:ascii="Calibri" w:hAnsi="Calibri" w:cs="Calibri"/>
        </w:rPr>
        <w:t xml:space="preserve"> </w:t>
      </w:r>
      <w:r w:rsidR="0088158B">
        <w:rPr>
          <w:rFonts w:ascii="Calibri" w:hAnsi="Calibri" w:cs="Calibri"/>
        </w:rPr>
        <w:t xml:space="preserve">(therefore) </w:t>
      </w:r>
      <w:r w:rsidR="0088158B" w:rsidRPr="00912BB8">
        <w:rPr>
          <w:rFonts w:ascii="Calibri" w:hAnsi="Calibri" w:cs="Calibri"/>
        </w:rPr>
        <w:t>should not be granted under the Highways Act 1980</w:t>
      </w:r>
      <w:r w:rsidR="0088158B">
        <w:rPr>
          <w:rFonts w:ascii="Calibri" w:hAnsi="Calibri" w:cs="Calibri"/>
        </w:rPr>
        <w:t xml:space="preserve"> (which applies to Street Cafes)</w:t>
      </w:r>
      <w:r w:rsidR="0088158B" w:rsidRPr="00912BB8">
        <w:rPr>
          <w:rFonts w:ascii="Calibri" w:hAnsi="Calibri" w:cs="Calibri"/>
        </w:rPr>
        <w:t xml:space="preserve"> </w:t>
      </w:r>
    </w:p>
    <w:p w14:paraId="2434F58B" w14:textId="77777777" w:rsidR="0088158B" w:rsidRPr="0088158B" w:rsidRDefault="0088158B" w:rsidP="0088158B">
      <w:pPr>
        <w:spacing w:after="0"/>
        <w:rPr>
          <w:rFonts w:ascii="Calibri" w:hAnsi="Calibri" w:cs="Calibri"/>
        </w:rPr>
      </w:pPr>
    </w:p>
    <w:p w14:paraId="157D1D80" w14:textId="73647A90" w:rsidR="00B66086" w:rsidRPr="00912BB8" w:rsidRDefault="00B66086" w:rsidP="00B66086">
      <w:pPr>
        <w:pStyle w:val="ListParagraph"/>
        <w:numPr>
          <w:ilvl w:val="0"/>
          <w:numId w:val="11"/>
        </w:numPr>
        <w:tabs>
          <w:tab w:val="clear" w:pos="426"/>
        </w:tabs>
        <w:spacing w:after="0"/>
        <w:rPr>
          <w:rFonts w:ascii="Calibri" w:hAnsi="Calibri" w:cs="Calibri"/>
        </w:rPr>
      </w:pPr>
      <w:r w:rsidRPr="00912BB8">
        <w:rPr>
          <w:rFonts w:ascii="Calibri" w:hAnsi="Calibri" w:cs="Calibri"/>
        </w:rPr>
        <w:t xml:space="preserve">There are also some significant changes to the </w:t>
      </w:r>
      <w:hyperlink r:id="rId13" w:history="1">
        <w:r w:rsidRPr="00912BB8">
          <w:rPr>
            <w:rStyle w:val="Hyperlink"/>
            <w:rFonts w:ascii="Calibri" w:hAnsi="Calibri" w:cs="Calibri"/>
          </w:rPr>
          <w:t>Guidance</w:t>
        </w:r>
      </w:hyperlink>
      <w:r w:rsidRPr="00912BB8">
        <w:rPr>
          <w:rFonts w:ascii="Calibri" w:hAnsi="Calibri" w:cs="Calibri"/>
        </w:rPr>
        <w:t xml:space="preserve"> </w:t>
      </w:r>
      <w:r w:rsidR="0088158B">
        <w:rPr>
          <w:rFonts w:ascii="Calibri" w:hAnsi="Calibri" w:cs="Calibri"/>
        </w:rPr>
        <w:t xml:space="preserve">on the </w:t>
      </w:r>
      <w:r w:rsidRPr="00912BB8">
        <w:rPr>
          <w:rFonts w:ascii="Calibri" w:hAnsi="Calibri" w:cs="Calibri"/>
        </w:rPr>
        <w:t xml:space="preserve"> interpretation of the national </w:t>
      </w:r>
      <w:r w:rsidRPr="00912BB8">
        <w:rPr>
          <w:rFonts w:ascii="Calibri" w:hAnsi="Calibri" w:cs="Calibri"/>
          <w:i/>
          <w:iCs/>
        </w:rPr>
        <w:t>no obstruction</w:t>
      </w:r>
      <w:r w:rsidRPr="00912BB8">
        <w:rPr>
          <w:rFonts w:ascii="Calibri" w:hAnsi="Calibri" w:cs="Calibri"/>
        </w:rPr>
        <w:t xml:space="preserve"> condition, including:</w:t>
      </w:r>
    </w:p>
    <w:p w14:paraId="7BE17CA8" w14:textId="77777777" w:rsidR="00B66086" w:rsidRPr="00912BB8" w:rsidRDefault="00B66086" w:rsidP="00B66086">
      <w:pPr>
        <w:pStyle w:val="ListParagraph"/>
        <w:numPr>
          <w:ilvl w:val="1"/>
          <w:numId w:val="11"/>
        </w:numPr>
        <w:tabs>
          <w:tab w:val="clear" w:pos="426"/>
        </w:tabs>
        <w:spacing w:after="0"/>
        <w:rPr>
          <w:rFonts w:ascii="Calibri" w:hAnsi="Calibri" w:cs="Calibri"/>
        </w:rPr>
      </w:pPr>
      <w:r w:rsidRPr="00912BB8">
        <w:rPr>
          <w:rFonts w:ascii="Calibri" w:hAnsi="Calibri" w:cs="Calibri"/>
        </w:rPr>
        <w:t xml:space="preserve">that when considering the needs of disabled people, under normal circumstances a width of 2000mm is the minimum that should be provided. In cases where this is not possible, a width of 1500mm could be regarded as the </w:t>
      </w:r>
      <w:r w:rsidRPr="00912BB8">
        <w:rPr>
          <w:rFonts w:ascii="Calibri" w:hAnsi="Calibri" w:cs="Calibri"/>
        </w:rPr>
        <w:lastRenderedPageBreak/>
        <w:t>minimum acceptable distance. Though, local authorities should take a proportionate approach when measuring this.</w:t>
      </w:r>
    </w:p>
    <w:p w14:paraId="14782BF9" w14:textId="77777777" w:rsidR="00B66086" w:rsidRPr="00912BB8" w:rsidRDefault="00B66086" w:rsidP="00B66086">
      <w:pPr>
        <w:pStyle w:val="ListParagraph"/>
        <w:numPr>
          <w:ilvl w:val="1"/>
          <w:numId w:val="11"/>
        </w:numPr>
        <w:tabs>
          <w:tab w:val="clear" w:pos="426"/>
        </w:tabs>
        <w:spacing w:after="0"/>
        <w:rPr>
          <w:rFonts w:ascii="Calibri" w:hAnsi="Calibri" w:cs="Calibri"/>
        </w:rPr>
      </w:pPr>
      <w:r w:rsidRPr="00912BB8">
        <w:rPr>
          <w:rFonts w:ascii="Calibri" w:hAnsi="Calibri" w:cs="Calibri"/>
        </w:rPr>
        <w:t>when considering the no obstruction condition licencing officers should be mindful of the cumulative impact of multiple pavement licences and the potential impact this could have on disabled pavement users</w:t>
      </w:r>
    </w:p>
    <w:p w14:paraId="1A5D5051" w14:textId="77777777" w:rsidR="00B66086" w:rsidRPr="00912BB8" w:rsidRDefault="00B66086" w:rsidP="0093067A">
      <w:pPr>
        <w:rPr>
          <w:rFonts w:ascii="Calibri" w:hAnsi="Calibri" w:cs="Calibri"/>
        </w:rPr>
      </w:pPr>
    </w:p>
    <w:sectPr w:rsidR="00B66086" w:rsidRPr="00912BB8" w:rsidSect="001D58AF">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E1F1" w14:textId="77777777" w:rsidR="003659D7" w:rsidRDefault="003659D7" w:rsidP="004A6D2F">
      <w:r>
        <w:separator/>
      </w:r>
    </w:p>
  </w:endnote>
  <w:endnote w:type="continuationSeparator" w:id="0">
    <w:p w14:paraId="0FF565BC" w14:textId="77777777" w:rsidR="003659D7" w:rsidRDefault="003659D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760A" w14:textId="77777777" w:rsidR="00364FAD" w:rsidRDefault="00364FAD" w:rsidP="004A6D2F">
    <w:pPr>
      <w:pStyle w:val="Footer"/>
    </w:pPr>
    <w:r>
      <w:t>Do not use a footer or page numbers.</w:t>
    </w:r>
  </w:p>
  <w:p w14:paraId="526CFCCD" w14:textId="77777777" w:rsidR="00364FAD" w:rsidRDefault="00364FAD" w:rsidP="004A6D2F">
    <w:pPr>
      <w:pStyle w:val="Footer"/>
    </w:pPr>
  </w:p>
  <w:p w14:paraId="3A2B33E5"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774E"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E846" w14:textId="77777777" w:rsidR="003659D7" w:rsidRDefault="003659D7" w:rsidP="004A6D2F">
      <w:r>
        <w:separator/>
      </w:r>
    </w:p>
  </w:footnote>
  <w:footnote w:type="continuationSeparator" w:id="0">
    <w:p w14:paraId="39097EE1" w14:textId="77777777" w:rsidR="003659D7" w:rsidRDefault="003659D7"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566A" w14:textId="77777777" w:rsidR="00D5547E" w:rsidRDefault="00FE5758" w:rsidP="00D5547E">
    <w:pPr>
      <w:pStyle w:val="Header"/>
      <w:jc w:val="right"/>
    </w:pPr>
    <w:r>
      <w:rPr>
        <w:noProof/>
      </w:rPr>
      <w:drawing>
        <wp:inline distT="0" distB="0" distL="0" distR="0" wp14:anchorId="6A5033C0" wp14:editId="21DE302F">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D41"/>
    <w:multiLevelType w:val="hybridMultilevel"/>
    <w:tmpl w:val="0D20DC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57659"/>
    <w:multiLevelType w:val="hybridMultilevel"/>
    <w:tmpl w:val="96D28E08"/>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D74DEF"/>
    <w:multiLevelType w:val="hybridMultilevel"/>
    <w:tmpl w:val="06985478"/>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34376251"/>
    <w:multiLevelType w:val="hybridMultilevel"/>
    <w:tmpl w:val="13482320"/>
    <w:lvl w:ilvl="0" w:tplc="F5960F9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AD0781"/>
    <w:multiLevelType w:val="hybridMultilevel"/>
    <w:tmpl w:val="2CDE9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823E1"/>
    <w:multiLevelType w:val="hybridMultilevel"/>
    <w:tmpl w:val="67769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DF567F"/>
    <w:multiLevelType w:val="hybridMultilevel"/>
    <w:tmpl w:val="13482320"/>
    <w:lvl w:ilvl="0" w:tplc="F5960F9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E173C2"/>
    <w:multiLevelType w:val="hybridMultilevel"/>
    <w:tmpl w:val="4B324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983E5D"/>
    <w:multiLevelType w:val="hybridMultilevel"/>
    <w:tmpl w:val="D7C43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98365C6"/>
    <w:multiLevelType w:val="multilevel"/>
    <w:tmpl w:val="28E06E50"/>
    <w:lvl w:ilvl="0">
      <w:start w:val="6"/>
      <w:numFmt w:val="decimal"/>
      <w:pStyle w:val="ListParagraph"/>
      <w:lvlText w:val="%1."/>
      <w:lvlJc w:val="left"/>
      <w:pPr>
        <w:ind w:left="2064" w:hanging="360"/>
      </w:pPr>
      <w:rPr>
        <w:rFonts w:ascii="Arial" w:hAnsi="Arial" w:hint="default"/>
        <w:color w:val="000000"/>
        <w:sz w:val="24"/>
      </w:rPr>
    </w:lvl>
    <w:lvl w:ilvl="1">
      <w:start w:val="1"/>
      <w:numFmt w:val="lowerLetter"/>
      <w:lvlText w:val="%2."/>
      <w:lvlJc w:val="left"/>
      <w:pPr>
        <w:ind w:left="2784" w:hanging="360"/>
      </w:pPr>
      <w:rPr>
        <w:rFonts w:hint="default"/>
      </w:rPr>
    </w:lvl>
    <w:lvl w:ilvl="2">
      <w:start w:val="1"/>
      <w:numFmt w:val="lowerRoman"/>
      <w:lvlText w:val="%3."/>
      <w:lvlJc w:val="right"/>
      <w:pPr>
        <w:ind w:left="3504" w:hanging="180"/>
      </w:pPr>
      <w:rPr>
        <w:rFonts w:hint="default"/>
      </w:rPr>
    </w:lvl>
    <w:lvl w:ilvl="3">
      <w:start w:val="1"/>
      <w:numFmt w:val="decimal"/>
      <w:lvlText w:val="%4."/>
      <w:lvlJc w:val="left"/>
      <w:pPr>
        <w:ind w:left="4224" w:hanging="360"/>
      </w:pPr>
      <w:rPr>
        <w:rFonts w:hint="default"/>
      </w:rPr>
    </w:lvl>
    <w:lvl w:ilvl="4">
      <w:start w:val="1"/>
      <w:numFmt w:val="lowerLetter"/>
      <w:lvlText w:val="%5."/>
      <w:lvlJc w:val="left"/>
      <w:pPr>
        <w:ind w:left="4944" w:hanging="360"/>
      </w:pPr>
      <w:rPr>
        <w:rFonts w:hint="default"/>
      </w:rPr>
    </w:lvl>
    <w:lvl w:ilvl="5">
      <w:start w:val="1"/>
      <w:numFmt w:val="lowerRoman"/>
      <w:lvlText w:val="%6."/>
      <w:lvlJc w:val="right"/>
      <w:pPr>
        <w:ind w:left="5664" w:hanging="180"/>
      </w:pPr>
      <w:rPr>
        <w:rFonts w:hint="default"/>
      </w:rPr>
    </w:lvl>
    <w:lvl w:ilvl="6">
      <w:start w:val="1"/>
      <w:numFmt w:val="decimal"/>
      <w:lvlText w:val="%7."/>
      <w:lvlJc w:val="left"/>
      <w:pPr>
        <w:ind w:left="6384" w:hanging="360"/>
      </w:pPr>
      <w:rPr>
        <w:rFonts w:hint="default"/>
      </w:rPr>
    </w:lvl>
    <w:lvl w:ilvl="7">
      <w:start w:val="1"/>
      <w:numFmt w:val="lowerLetter"/>
      <w:lvlText w:val="%8."/>
      <w:lvlJc w:val="left"/>
      <w:pPr>
        <w:ind w:left="7104" w:hanging="360"/>
      </w:pPr>
      <w:rPr>
        <w:rFonts w:hint="default"/>
      </w:rPr>
    </w:lvl>
    <w:lvl w:ilvl="8">
      <w:start w:val="1"/>
      <w:numFmt w:val="lowerRoman"/>
      <w:lvlText w:val="%9."/>
      <w:lvlJc w:val="right"/>
      <w:pPr>
        <w:ind w:left="7824" w:hanging="180"/>
      </w:pPr>
      <w:rPr>
        <w:rFonts w:hint="default"/>
      </w:rPr>
    </w:lvl>
  </w:abstractNum>
  <w:num w:numId="1" w16cid:durableId="1383141501">
    <w:abstractNumId w:val="1"/>
  </w:num>
  <w:num w:numId="2" w16cid:durableId="1206912667">
    <w:abstractNumId w:val="13"/>
  </w:num>
  <w:num w:numId="3" w16cid:durableId="297808581">
    <w:abstractNumId w:val="4"/>
  </w:num>
  <w:num w:numId="4" w16cid:durableId="877937988">
    <w:abstractNumId w:val="2"/>
  </w:num>
  <w:num w:numId="5" w16cid:durableId="402028219">
    <w:abstractNumId w:val="11"/>
  </w:num>
  <w:num w:numId="6" w16cid:durableId="399132939">
    <w:abstractNumId w:val="3"/>
  </w:num>
  <w:num w:numId="7" w16cid:durableId="607082068">
    <w:abstractNumId w:val="9"/>
  </w:num>
  <w:num w:numId="8" w16cid:durableId="196739097">
    <w:abstractNumId w:val="6"/>
  </w:num>
  <w:num w:numId="9" w16cid:durableId="965432782">
    <w:abstractNumId w:val="5"/>
  </w:num>
  <w:num w:numId="10" w16cid:durableId="1119958309">
    <w:abstractNumId w:val="8"/>
  </w:num>
  <w:num w:numId="11" w16cid:durableId="16995056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6458654">
    <w:abstractNumId w:val="8"/>
  </w:num>
  <w:num w:numId="13" w16cid:durableId="19479618">
    <w:abstractNumId w:val="10"/>
  </w:num>
  <w:num w:numId="14" w16cid:durableId="436953211">
    <w:abstractNumId w:val="7"/>
  </w:num>
  <w:num w:numId="15" w16cid:durableId="123142460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0/05/2022 17:48"/>
  </w:docVars>
  <w:rsids>
    <w:rsidRoot w:val="00FE5758"/>
    <w:rsid w:val="00001ADC"/>
    <w:rsid w:val="000117D4"/>
    <w:rsid w:val="00015AFD"/>
    <w:rsid w:val="000314D7"/>
    <w:rsid w:val="00031DA8"/>
    <w:rsid w:val="00045891"/>
    <w:rsid w:val="00045F8B"/>
    <w:rsid w:val="00046133"/>
    <w:rsid w:val="00046D2B"/>
    <w:rsid w:val="000515B9"/>
    <w:rsid w:val="00056263"/>
    <w:rsid w:val="00061E35"/>
    <w:rsid w:val="00064D8A"/>
    <w:rsid w:val="00064F82"/>
    <w:rsid w:val="00066510"/>
    <w:rsid w:val="00077523"/>
    <w:rsid w:val="0008077F"/>
    <w:rsid w:val="00092429"/>
    <w:rsid w:val="00097C87"/>
    <w:rsid w:val="000A2A9E"/>
    <w:rsid w:val="000B6C68"/>
    <w:rsid w:val="000C089F"/>
    <w:rsid w:val="000C3928"/>
    <w:rsid w:val="000C5E8E"/>
    <w:rsid w:val="000D6E28"/>
    <w:rsid w:val="000F3FAF"/>
    <w:rsid w:val="000F4751"/>
    <w:rsid w:val="0010524C"/>
    <w:rsid w:val="00111FB1"/>
    <w:rsid w:val="00113418"/>
    <w:rsid w:val="001230B4"/>
    <w:rsid w:val="00127104"/>
    <w:rsid w:val="001356F1"/>
    <w:rsid w:val="00136956"/>
    <w:rsid w:val="00136994"/>
    <w:rsid w:val="00137D4C"/>
    <w:rsid w:val="0014128E"/>
    <w:rsid w:val="0014219C"/>
    <w:rsid w:val="0014606E"/>
    <w:rsid w:val="00151888"/>
    <w:rsid w:val="001545CF"/>
    <w:rsid w:val="00170A2D"/>
    <w:rsid w:val="00174141"/>
    <w:rsid w:val="001808BC"/>
    <w:rsid w:val="00181BA7"/>
    <w:rsid w:val="00182B81"/>
    <w:rsid w:val="0018619D"/>
    <w:rsid w:val="00186573"/>
    <w:rsid w:val="00186A38"/>
    <w:rsid w:val="00190FA0"/>
    <w:rsid w:val="001A011E"/>
    <w:rsid w:val="001A066A"/>
    <w:rsid w:val="001A13E6"/>
    <w:rsid w:val="001A5731"/>
    <w:rsid w:val="001B42C3"/>
    <w:rsid w:val="001B4774"/>
    <w:rsid w:val="001C1095"/>
    <w:rsid w:val="001C5D5E"/>
    <w:rsid w:val="001D5410"/>
    <w:rsid w:val="001D58AF"/>
    <w:rsid w:val="001D678D"/>
    <w:rsid w:val="001E02AD"/>
    <w:rsid w:val="001E03F8"/>
    <w:rsid w:val="001E09E1"/>
    <w:rsid w:val="001E14E4"/>
    <w:rsid w:val="001E1678"/>
    <w:rsid w:val="001E1DB1"/>
    <w:rsid w:val="001E2706"/>
    <w:rsid w:val="001E3376"/>
    <w:rsid w:val="001F64B1"/>
    <w:rsid w:val="002069B3"/>
    <w:rsid w:val="00226073"/>
    <w:rsid w:val="002329CF"/>
    <w:rsid w:val="00232F5B"/>
    <w:rsid w:val="00245066"/>
    <w:rsid w:val="00247C29"/>
    <w:rsid w:val="002569A7"/>
    <w:rsid w:val="00260467"/>
    <w:rsid w:val="00263EA3"/>
    <w:rsid w:val="00284F85"/>
    <w:rsid w:val="00290915"/>
    <w:rsid w:val="00293CFD"/>
    <w:rsid w:val="002A22E2"/>
    <w:rsid w:val="002C001A"/>
    <w:rsid w:val="002C64F7"/>
    <w:rsid w:val="002D07F0"/>
    <w:rsid w:val="002D4235"/>
    <w:rsid w:val="002D59DB"/>
    <w:rsid w:val="002D7E49"/>
    <w:rsid w:val="002F1305"/>
    <w:rsid w:val="002F41F2"/>
    <w:rsid w:val="00301BF3"/>
    <w:rsid w:val="0030208D"/>
    <w:rsid w:val="00323418"/>
    <w:rsid w:val="003308DA"/>
    <w:rsid w:val="003356D5"/>
    <w:rsid w:val="003357BF"/>
    <w:rsid w:val="00364FAD"/>
    <w:rsid w:val="003659D7"/>
    <w:rsid w:val="0036738F"/>
    <w:rsid w:val="003673F7"/>
    <w:rsid w:val="0036759C"/>
    <w:rsid w:val="00367AE5"/>
    <w:rsid w:val="00367D71"/>
    <w:rsid w:val="0038150A"/>
    <w:rsid w:val="00386D12"/>
    <w:rsid w:val="003921B6"/>
    <w:rsid w:val="00396175"/>
    <w:rsid w:val="003A024C"/>
    <w:rsid w:val="003B6E75"/>
    <w:rsid w:val="003B7DA1"/>
    <w:rsid w:val="003C6E0C"/>
    <w:rsid w:val="003D0379"/>
    <w:rsid w:val="003D2574"/>
    <w:rsid w:val="003D3E12"/>
    <w:rsid w:val="003D4C59"/>
    <w:rsid w:val="003D55C0"/>
    <w:rsid w:val="003F2CB0"/>
    <w:rsid w:val="003F4267"/>
    <w:rsid w:val="00404032"/>
    <w:rsid w:val="0040736F"/>
    <w:rsid w:val="00412C1F"/>
    <w:rsid w:val="00421CB2"/>
    <w:rsid w:val="004268B9"/>
    <w:rsid w:val="00433B96"/>
    <w:rsid w:val="004440F1"/>
    <w:rsid w:val="004456DD"/>
    <w:rsid w:val="00446CDF"/>
    <w:rsid w:val="004521B7"/>
    <w:rsid w:val="00462AB5"/>
    <w:rsid w:val="00465EAF"/>
    <w:rsid w:val="0046758E"/>
    <w:rsid w:val="00471319"/>
    <w:rsid w:val="004738C5"/>
    <w:rsid w:val="00487589"/>
    <w:rsid w:val="00491046"/>
    <w:rsid w:val="004A1568"/>
    <w:rsid w:val="004A2AC7"/>
    <w:rsid w:val="004A6D2F"/>
    <w:rsid w:val="004C2887"/>
    <w:rsid w:val="004D2626"/>
    <w:rsid w:val="004D481B"/>
    <w:rsid w:val="004D6E26"/>
    <w:rsid w:val="004D77D3"/>
    <w:rsid w:val="004E2959"/>
    <w:rsid w:val="004E40D0"/>
    <w:rsid w:val="004F20EF"/>
    <w:rsid w:val="004F41CC"/>
    <w:rsid w:val="00500AEE"/>
    <w:rsid w:val="0050321C"/>
    <w:rsid w:val="00506FF7"/>
    <w:rsid w:val="0054712D"/>
    <w:rsid w:val="00547EF6"/>
    <w:rsid w:val="00551D48"/>
    <w:rsid w:val="00552997"/>
    <w:rsid w:val="005570B5"/>
    <w:rsid w:val="00563BED"/>
    <w:rsid w:val="00567E18"/>
    <w:rsid w:val="00575F5F"/>
    <w:rsid w:val="00581805"/>
    <w:rsid w:val="00585F76"/>
    <w:rsid w:val="005A0AD2"/>
    <w:rsid w:val="005A34E4"/>
    <w:rsid w:val="005B17F2"/>
    <w:rsid w:val="005B7FB0"/>
    <w:rsid w:val="005C35A5"/>
    <w:rsid w:val="005C577C"/>
    <w:rsid w:val="005D0621"/>
    <w:rsid w:val="005D1E27"/>
    <w:rsid w:val="005D2A3E"/>
    <w:rsid w:val="005E022E"/>
    <w:rsid w:val="005E5215"/>
    <w:rsid w:val="005F00B5"/>
    <w:rsid w:val="005F7F7E"/>
    <w:rsid w:val="00614693"/>
    <w:rsid w:val="00623C2F"/>
    <w:rsid w:val="00633578"/>
    <w:rsid w:val="00637068"/>
    <w:rsid w:val="00650811"/>
    <w:rsid w:val="00654B13"/>
    <w:rsid w:val="00661D3E"/>
    <w:rsid w:val="006620B0"/>
    <w:rsid w:val="00671705"/>
    <w:rsid w:val="006870A6"/>
    <w:rsid w:val="00691896"/>
    <w:rsid w:val="00692627"/>
    <w:rsid w:val="006969E7"/>
    <w:rsid w:val="006A3643"/>
    <w:rsid w:val="006B20E6"/>
    <w:rsid w:val="006C2418"/>
    <w:rsid w:val="006C2A29"/>
    <w:rsid w:val="006C5F29"/>
    <w:rsid w:val="006C64CF"/>
    <w:rsid w:val="006D17B1"/>
    <w:rsid w:val="006D4752"/>
    <w:rsid w:val="006D708A"/>
    <w:rsid w:val="006D7DAB"/>
    <w:rsid w:val="006E14C1"/>
    <w:rsid w:val="006F0292"/>
    <w:rsid w:val="006F27FA"/>
    <w:rsid w:val="006F416B"/>
    <w:rsid w:val="006F519B"/>
    <w:rsid w:val="00713675"/>
    <w:rsid w:val="00715823"/>
    <w:rsid w:val="007226BC"/>
    <w:rsid w:val="00726D79"/>
    <w:rsid w:val="00733908"/>
    <w:rsid w:val="00735B85"/>
    <w:rsid w:val="00737B93"/>
    <w:rsid w:val="00745BF0"/>
    <w:rsid w:val="00755A69"/>
    <w:rsid w:val="007615FE"/>
    <w:rsid w:val="0076655C"/>
    <w:rsid w:val="00766B71"/>
    <w:rsid w:val="007717E4"/>
    <w:rsid w:val="007742DC"/>
    <w:rsid w:val="007764CB"/>
    <w:rsid w:val="00791437"/>
    <w:rsid w:val="007A3665"/>
    <w:rsid w:val="007A6122"/>
    <w:rsid w:val="007B0C2C"/>
    <w:rsid w:val="007B278E"/>
    <w:rsid w:val="007B5CF9"/>
    <w:rsid w:val="007C5C23"/>
    <w:rsid w:val="007C7CEC"/>
    <w:rsid w:val="007E29F1"/>
    <w:rsid w:val="007E2A26"/>
    <w:rsid w:val="007F2348"/>
    <w:rsid w:val="00803F07"/>
    <w:rsid w:val="00804036"/>
    <w:rsid w:val="0080749A"/>
    <w:rsid w:val="00821FB8"/>
    <w:rsid w:val="00822ACD"/>
    <w:rsid w:val="00832E5D"/>
    <w:rsid w:val="0085054A"/>
    <w:rsid w:val="00853FB3"/>
    <w:rsid w:val="00855C66"/>
    <w:rsid w:val="008618CB"/>
    <w:rsid w:val="00862D81"/>
    <w:rsid w:val="00871EE4"/>
    <w:rsid w:val="0088158B"/>
    <w:rsid w:val="0088400E"/>
    <w:rsid w:val="00886513"/>
    <w:rsid w:val="008A43AA"/>
    <w:rsid w:val="008B281B"/>
    <w:rsid w:val="008B293F"/>
    <w:rsid w:val="008B7371"/>
    <w:rsid w:val="008D3DDB"/>
    <w:rsid w:val="008E06EF"/>
    <w:rsid w:val="008F1A27"/>
    <w:rsid w:val="008F3931"/>
    <w:rsid w:val="008F573F"/>
    <w:rsid w:val="009034EC"/>
    <w:rsid w:val="00912BB8"/>
    <w:rsid w:val="0093067A"/>
    <w:rsid w:val="00940400"/>
    <w:rsid w:val="00941C60"/>
    <w:rsid w:val="00941FD1"/>
    <w:rsid w:val="00966D42"/>
    <w:rsid w:val="00971689"/>
    <w:rsid w:val="00973E90"/>
    <w:rsid w:val="00975B07"/>
    <w:rsid w:val="00980B4A"/>
    <w:rsid w:val="009A1677"/>
    <w:rsid w:val="009B6D9D"/>
    <w:rsid w:val="009E3D0A"/>
    <w:rsid w:val="009E51FC"/>
    <w:rsid w:val="009F1D28"/>
    <w:rsid w:val="009F7618"/>
    <w:rsid w:val="00A024F7"/>
    <w:rsid w:val="00A04D23"/>
    <w:rsid w:val="00A05761"/>
    <w:rsid w:val="00A06766"/>
    <w:rsid w:val="00A13765"/>
    <w:rsid w:val="00A21B12"/>
    <w:rsid w:val="00A23F80"/>
    <w:rsid w:val="00A25351"/>
    <w:rsid w:val="00A4422C"/>
    <w:rsid w:val="00A4626B"/>
    <w:rsid w:val="00A46E98"/>
    <w:rsid w:val="00A578F3"/>
    <w:rsid w:val="00A6352B"/>
    <w:rsid w:val="00A701B5"/>
    <w:rsid w:val="00A714BB"/>
    <w:rsid w:val="00A77147"/>
    <w:rsid w:val="00A90B65"/>
    <w:rsid w:val="00A92D8F"/>
    <w:rsid w:val="00AA25CA"/>
    <w:rsid w:val="00AB2988"/>
    <w:rsid w:val="00AB4DDF"/>
    <w:rsid w:val="00AB7999"/>
    <w:rsid w:val="00AD3292"/>
    <w:rsid w:val="00AD7D23"/>
    <w:rsid w:val="00AE7AF0"/>
    <w:rsid w:val="00AF34F8"/>
    <w:rsid w:val="00B20356"/>
    <w:rsid w:val="00B225E7"/>
    <w:rsid w:val="00B500CA"/>
    <w:rsid w:val="00B50460"/>
    <w:rsid w:val="00B621E9"/>
    <w:rsid w:val="00B66086"/>
    <w:rsid w:val="00B75D23"/>
    <w:rsid w:val="00B801F4"/>
    <w:rsid w:val="00B86314"/>
    <w:rsid w:val="00BA1C2E"/>
    <w:rsid w:val="00BA26B7"/>
    <w:rsid w:val="00BC200B"/>
    <w:rsid w:val="00BC4756"/>
    <w:rsid w:val="00BC69A4"/>
    <w:rsid w:val="00BC70FA"/>
    <w:rsid w:val="00BD2558"/>
    <w:rsid w:val="00BE0680"/>
    <w:rsid w:val="00BE0F18"/>
    <w:rsid w:val="00BE305F"/>
    <w:rsid w:val="00BE7BA3"/>
    <w:rsid w:val="00BF5682"/>
    <w:rsid w:val="00BF7B09"/>
    <w:rsid w:val="00C17549"/>
    <w:rsid w:val="00C20A95"/>
    <w:rsid w:val="00C2692F"/>
    <w:rsid w:val="00C3207C"/>
    <w:rsid w:val="00C33168"/>
    <w:rsid w:val="00C400E1"/>
    <w:rsid w:val="00C41187"/>
    <w:rsid w:val="00C44BAE"/>
    <w:rsid w:val="00C63C31"/>
    <w:rsid w:val="00C757A0"/>
    <w:rsid w:val="00C760DE"/>
    <w:rsid w:val="00C82630"/>
    <w:rsid w:val="00C8291A"/>
    <w:rsid w:val="00C85B4E"/>
    <w:rsid w:val="00C907F7"/>
    <w:rsid w:val="00CA2103"/>
    <w:rsid w:val="00CA26EE"/>
    <w:rsid w:val="00CB6B99"/>
    <w:rsid w:val="00CB7549"/>
    <w:rsid w:val="00CC426B"/>
    <w:rsid w:val="00CE42E3"/>
    <w:rsid w:val="00CE4C87"/>
    <w:rsid w:val="00CE544A"/>
    <w:rsid w:val="00CE7A26"/>
    <w:rsid w:val="00D01688"/>
    <w:rsid w:val="00D11E1C"/>
    <w:rsid w:val="00D160B0"/>
    <w:rsid w:val="00D16170"/>
    <w:rsid w:val="00D17F94"/>
    <w:rsid w:val="00D223FC"/>
    <w:rsid w:val="00D26D1E"/>
    <w:rsid w:val="00D32A2D"/>
    <w:rsid w:val="00D46C5B"/>
    <w:rsid w:val="00D474CF"/>
    <w:rsid w:val="00D5034D"/>
    <w:rsid w:val="00D5547E"/>
    <w:rsid w:val="00D57F03"/>
    <w:rsid w:val="00D61EE9"/>
    <w:rsid w:val="00D6622F"/>
    <w:rsid w:val="00D6640B"/>
    <w:rsid w:val="00D73AAA"/>
    <w:rsid w:val="00D73BBE"/>
    <w:rsid w:val="00D855DA"/>
    <w:rsid w:val="00D869A1"/>
    <w:rsid w:val="00DA413F"/>
    <w:rsid w:val="00DA4584"/>
    <w:rsid w:val="00DA614B"/>
    <w:rsid w:val="00DC2A04"/>
    <w:rsid w:val="00DC3060"/>
    <w:rsid w:val="00DE0FB2"/>
    <w:rsid w:val="00DE614E"/>
    <w:rsid w:val="00DF093E"/>
    <w:rsid w:val="00DF48C2"/>
    <w:rsid w:val="00DF6ED9"/>
    <w:rsid w:val="00E009DB"/>
    <w:rsid w:val="00E01F42"/>
    <w:rsid w:val="00E206D6"/>
    <w:rsid w:val="00E22D0E"/>
    <w:rsid w:val="00E3366E"/>
    <w:rsid w:val="00E340FB"/>
    <w:rsid w:val="00E52086"/>
    <w:rsid w:val="00E543A6"/>
    <w:rsid w:val="00E54986"/>
    <w:rsid w:val="00E60479"/>
    <w:rsid w:val="00E61D73"/>
    <w:rsid w:val="00E651E9"/>
    <w:rsid w:val="00E673A8"/>
    <w:rsid w:val="00E73684"/>
    <w:rsid w:val="00E818D6"/>
    <w:rsid w:val="00E87F7A"/>
    <w:rsid w:val="00E90D8E"/>
    <w:rsid w:val="00E96BD7"/>
    <w:rsid w:val="00EA0DB1"/>
    <w:rsid w:val="00EA0EE9"/>
    <w:rsid w:val="00EA31A1"/>
    <w:rsid w:val="00EB425C"/>
    <w:rsid w:val="00EB7BC8"/>
    <w:rsid w:val="00ED52CA"/>
    <w:rsid w:val="00ED5860"/>
    <w:rsid w:val="00EE35C9"/>
    <w:rsid w:val="00EE4FCD"/>
    <w:rsid w:val="00EF31ED"/>
    <w:rsid w:val="00F039CB"/>
    <w:rsid w:val="00F05ECA"/>
    <w:rsid w:val="00F3566E"/>
    <w:rsid w:val="00F375FB"/>
    <w:rsid w:val="00F41AC1"/>
    <w:rsid w:val="00F4367A"/>
    <w:rsid w:val="00F445B1"/>
    <w:rsid w:val="00F45CD4"/>
    <w:rsid w:val="00F62B7C"/>
    <w:rsid w:val="00F64F11"/>
    <w:rsid w:val="00F66DCA"/>
    <w:rsid w:val="00F74F53"/>
    <w:rsid w:val="00F7606D"/>
    <w:rsid w:val="00F81670"/>
    <w:rsid w:val="00F82024"/>
    <w:rsid w:val="00F84BE7"/>
    <w:rsid w:val="00F90B84"/>
    <w:rsid w:val="00F95BC9"/>
    <w:rsid w:val="00FA624C"/>
    <w:rsid w:val="00FD0FAC"/>
    <w:rsid w:val="00FD1DFA"/>
    <w:rsid w:val="00FD4966"/>
    <w:rsid w:val="00FD66C4"/>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9C4670"/>
  <w15:docId w15:val="{D0FAA4B8-2961-45FD-86C5-54487130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semiHidden/>
    <w:unhideWhenUsed/>
    <w:rsid w:val="001C1095"/>
    <w:rPr>
      <w:color w:val="800080" w:themeColor="followedHyperlink"/>
      <w:u w:val="single"/>
    </w:rPr>
  </w:style>
  <w:style w:type="paragraph" w:customStyle="1" w:styleId="Default">
    <w:name w:val="Default"/>
    <w:rsid w:val="00097C87"/>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5325168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747242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554658444">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evens@oxford.gov.uk" TargetMode="External"/><Relationship Id="rId13" Type="http://schemas.openxmlformats.org/officeDocument/2006/relationships/hyperlink" Target="https://www.gov.uk/government/publications/pavement-licences-guidance/pavement-licences-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24/389/contents/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A4A4-9A82-4CC1-A944-2AFF03D1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1672</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STEVENS David</cp:lastModifiedBy>
  <cp:revision>3</cp:revision>
  <cp:lastPrinted>2015-07-03T13:50:00Z</cp:lastPrinted>
  <dcterms:created xsi:type="dcterms:W3CDTF">2024-05-08T10:16:00Z</dcterms:created>
  <dcterms:modified xsi:type="dcterms:W3CDTF">2024-05-08T10:21:00Z</dcterms:modified>
</cp:coreProperties>
</file>